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1843"/>
        <w:gridCol w:w="1843"/>
      </w:tblGrid>
      <w:tr w:rsidR="00286D0D" w:rsidRPr="00AB4389" w:rsidTr="00286D0D">
        <w:trPr>
          <w:trHeight w:val="361"/>
        </w:trPr>
        <w:tc>
          <w:tcPr>
            <w:tcW w:w="336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E4F5322" wp14:editId="24352987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78105</wp:posOffset>
                  </wp:positionV>
                  <wp:extent cx="1885950" cy="6191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E73E53" w:rsidP="00E73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SATINALMA İŞLEMLERİ</w:t>
            </w:r>
            <w:r w:rsidR="003A19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E73E53" w:rsidP="00292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Elektrik, Su, Doğalgaz 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>ödeme</w:t>
            </w:r>
            <w:r w:rsidR="00292BE7">
              <w:rPr>
                <w:rFonts w:ascii="Times New Roman" w:hAnsi="Times New Roman" w:cs="Times New Roman"/>
                <w:sz w:val="24"/>
                <w:szCs w:val="24"/>
              </w:rPr>
              <w:t>leri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aşamasıdır.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EA6854" w:rsidP="00420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810">
              <w:rPr>
                <w:rFonts w:ascii="Times New Roman" w:hAnsi="Times New Roman" w:cs="Times New Roman"/>
                <w:sz w:val="24"/>
                <w:szCs w:val="24"/>
              </w:rPr>
              <w:t>Üniversitemiz Yapı İşleri</w:t>
            </w:r>
            <w:r w:rsidR="001757DA">
              <w:rPr>
                <w:rFonts w:ascii="Times New Roman" w:hAnsi="Times New Roman" w:cs="Times New Roman"/>
                <w:sz w:val="24"/>
                <w:szCs w:val="24"/>
              </w:rPr>
              <w:t xml:space="preserve"> ve Teknik</w:t>
            </w:r>
            <w:r w:rsidRPr="00420810">
              <w:rPr>
                <w:rFonts w:ascii="Times New Roman" w:hAnsi="Times New Roman" w:cs="Times New Roman"/>
                <w:sz w:val="24"/>
                <w:szCs w:val="24"/>
              </w:rPr>
              <w:t xml:space="preserve"> Daire Başkanlığı Bakım Onarım Şube Müdürlüğü</w:t>
            </w:r>
            <w:r w:rsidRPr="00292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BE7" w:rsidRPr="00292BE7">
              <w:rPr>
                <w:rFonts w:ascii="Times New Roman" w:hAnsi="Times New Roman" w:cs="Times New Roman"/>
                <w:sz w:val="24"/>
                <w:szCs w:val="24"/>
              </w:rPr>
              <w:t>Başkanlığımıza gönderil</w:t>
            </w:r>
            <w:r w:rsidR="00292BE7">
              <w:rPr>
                <w:rFonts w:ascii="Times New Roman" w:hAnsi="Times New Roman" w:cs="Times New Roman"/>
                <w:sz w:val="24"/>
                <w:szCs w:val="24"/>
              </w:rPr>
              <w:t>mesi.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5A7258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365">
              <w:rPr>
                <w:rFonts w:ascii="Times New Roman" w:hAnsi="Times New Roman" w:cs="Times New Roman"/>
                <w:sz w:val="24"/>
                <w:szCs w:val="24"/>
              </w:rPr>
              <w:t>Satın alma</w:t>
            </w:r>
            <w:r w:rsidR="00F33365" w:rsidRPr="00F3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Tahakkuk </w:t>
            </w:r>
            <w:r w:rsidR="00F33365" w:rsidRPr="00F33365">
              <w:rPr>
                <w:rFonts w:ascii="Times New Roman" w:hAnsi="Times New Roman" w:cs="Times New Roman"/>
                <w:sz w:val="24"/>
                <w:szCs w:val="24"/>
              </w:rPr>
              <w:t>Şube Müdürlüğü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5A7258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</w:t>
            </w:r>
            <w:r w:rsidR="00B70095">
              <w:rPr>
                <w:rFonts w:ascii="Times New Roman" w:hAnsi="Times New Roman" w:cs="Times New Roman"/>
                <w:sz w:val="24"/>
                <w:szCs w:val="24"/>
              </w:rPr>
              <w:t xml:space="preserve"> Daire Başkanlığı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EA6854" w:rsidP="001C3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810">
              <w:rPr>
                <w:rFonts w:ascii="Times New Roman" w:hAnsi="Times New Roman" w:cs="Times New Roman"/>
                <w:sz w:val="24"/>
                <w:szCs w:val="24"/>
              </w:rPr>
              <w:t>Üniversitemiz Yapı İşleri Daire Başkanlığı Bakım Onarım Şube Müdürlüğü tarafından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gönderilen</w:t>
            </w:r>
            <w:r w:rsidRPr="00420810">
              <w:rPr>
                <w:rFonts w:ascii="Times New Roman" w:hAnsi="Times New Roman" w:cs="Times New Roman"/>
                <w:sz w:val="24"/>
                <w:szCs w:val="24"/>
              </w:rPr>
              <w:t xml:space="preserve"> özel tüketim sayaç okuma bedelleri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ilgili kurum veya firmalara üst yazıyla bildirilir</w:t>
            </w:r>
            <w:r w:rsidR="001C38C7">
              <w:rPr>
                <w:rFonts w:ascii="Times New Roman" w:hAnsi="Times New Roman" w:cs="Times New Roman"/>
                <w:sz w:val="24"/>
                <w:szCs w:val="24"/>
              </w:rPr>
              <w:t>. Fatura geldikten sonra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7A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92B77">
              <w:rPr>
                <w:rFonts w:ascii="Times New Roman" w:hAnsi="Times New Roman" w:cs="Times New Roman"/>
                <w:sz w:val="24"/>
                <w:szCs w:val="24"/>
              </w:rPr>
              <w:t>YS üzerinden Ödeme Emri Belgesi oluşturularak belg</w:t>
            </w:r>
            <w:r w:rsidR="003901F0">
              <w:rPr>
                <w:rFonts w:ascii="Times New Roman" w:hAnsi="Times New Roman" w:cs="Times New Roman"/>
                <w:sz w:val="24"/>
                <w:szCs w:val="24"/>
              </w:rPr>
              <w:t xml:space="preserve">elerin SGDB’na teslim </w:t>
            </w:r>
            <w:r w:rsidR="00DA1D7D">
              <w:rPr>
                <w:rFonts w:ascii="Times New Roman" w:hAnsi="Times New Roman" w:cs="Times New Roman"/>
                <w:sz w:val="24"/>
                <w:szCs w:val="24"/>
              </w:rPr>
              <w:t>edilmesi.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7B3230" w:rsidP="00EA6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420810" w:rsidRPr="00420810">
              <w:rPr>
                <w:rFonts w:ascii="Times New Roman" w:hAnsi="Times New Roman" w:cs="Times New Roman"/>
                <w:sz w:val="24"/>
                <w:szCs w:val="24"/>
              </w:rPr>
              <w:t>zel tüketim sayaç okuma bedelleri</w:t>
            </w:r>
            <w:r w:rsidR="00420810">
              <w:rPr>
                <w:rFonts w:ascii="Times New Roman" w:hAnsi="Times New Roman" w:cs="Times New Roman"/>
                <w:sz w:val="24"/>
                <w:szCs w:val="24"/>
              </w:rPr>
              <w:t>nin hatalı gelmesi.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54874" w:rsidP="007B3230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Hatalı gelen özel tüketim sayaç okuma bedellerinin düzeltilmek üzere </w:t>
            </w:r>
            <w:r w:rsidR="007B3230">
              <w:rPr>
                <w:rFonts w:ascii="Times New Roman" w:hAnsi="Times New Roman" w:cs="Times New Roman"/>
                <w:sz w:val="24"/>
                <w:szCs w:val="24"/>
              </w:rPr>
              <w:t xml:space="preserve">ilgili birime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gönderilmesi.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89578F" w:rsidRDefault="0089578F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D0D" w:rsidRPr="00AB4389" w:rsidRDefault="00B54874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İş Günü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F33365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3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SÜRECİN DAYANDIĞI MEVZUAT ADI VE NUMARASI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B70095" w:rsidRPr="00F33365" w:rsidRDefault="00B54874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365">
              <w:rPr>
                <w:rFonts w:ascii="Times New Roman" w:hAnsi="Times New Roman" w:cs="Times New Roman"/>
                <w:sz w:val="24"/>
                <w:szCs w:val="24"/>
              </w:rPr>
              <w:t>Merkezi Yönetim Harcama Belgeleri Yönetmeliği 49.Maddenin a bendi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F33365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3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FORMU HAZIRLAYANLAR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F33365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5A7258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 Daire Başkanlığı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220" w:rsidRDefault="00D20220" w:rsidP="00956C56">
      <w:pPr>
        <w:spacing w:after="0" w:line="240" w:lineRule="auto"/>
      </w:pPr>
      <w:r>
        <w:separator/>
      </w:r>
    </w:p>
  </w:endnote>
  <w:endnote w:type="continuationSeparator" w:id="0">
    <w:p w:rsidR="00D20220" w:rsidRDefault="00D20220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220" w:rsidRDefault="00D20220" w:rsidP="00956C56">
      <w:pPr>
        <w:spacing w:after="0" w:line="240" w:lineRule="auto"/>
      </w:pPr>
      <w:r>
        <w:separator/>
      </w:r>
    </w:p>
  </w:footnote>
  <w:footnote w:type="continuationSeparator" w:id="0">
    <w:p w:rsidR="00D20220" w:rsidRDefault="00D20220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71704"/>
    <w:rsid w:val="00076886"/>
    <w:rsid w:val="00082135"/>
    <w:rsid w:val="00082DCC"/>
    <w:rsid w:val="00091F29"/>
    <w:rsid w:val="000A62DC"/>
    <w:rsid w:val="000E09DE"/>
    <w:rsid w:val="000F572C"/>
    <w:rsid w:val="00104954"/>
    <w:rsid w:val="00121297"/>
    <w:rsid w:val="001452D2"/>
    <w:rsid w:val="00151A3E"/>
    <w:rsid w:val="0016025C"/>
    <w:rsid w:val="00163F06"/>
    <w:rsid w:val="00170743"/>
    <w:rsid w:val="001743CD"/>
    <w:rsid w:val="001757DA"/>
    <w:rsid w:val="00184486"/>
    <w:rsid w:val="00187A7F"/>
    <w:rsid w:val="00194850"/>
    <w:rsid w:val="00197390"/>
    <w:rsid w:val="001B2F21"/>
    <w:rsid w:val="001C0E3B"/>
    <w:rsid w:val="001C378E"/>
    <w:rsid w:val="001C38C7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5144"/>
    <w:rsid w:val="002722AB"/>
    <w:rsid w:val="00272710"/>
    <w:rsid w:val="00273B11"/>
    <w:rsid w:val="00274144"/>
    <w:rsid w:val="00286D0D"/>
    <w:rsid w:val="00292BE7"/>
    <w:rsid w:val="002A2C79"/>
    <w:rsid w:val="002A4965"/>
    <w:rsid w:val="002A7127"/>
    <w:rsid w:val="002A77A8"/>
    <w:rsid w:val="002C0FAC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901F0"/>
    <w:rsid w:val="003A19C8"/>
    <w:rsid w:val="003A4731"/>
    <w:rsid w:val="003B5E17"/>
    <w:rsid w:val="003D0ACC"/>
    <w:rsid w:val="003D0FEB"/>
    <w:rsid w:val="003E614F"/>
    <w:rsid w:val="004201B9"/>
    <w:rsid w:val="00420810"/>
    <w:rsid w:val="00421025"/>
    <w:rsid w:val="00424522"/>
    <w:rsid w:val="00425209"/>
    <w:rsid w:val="004350E1"/>
    <w:rsid w:val="00442FC1"/>
    <w:rsid w:val="00464F48"/>
    <w:rsid w:val="0047613C"/>
    <w:rsid w:val="0048092F"/>
    <w:rsid w:val="00487EC3"/>
    <w:rsid w:val="00490472"/>
    <w:rsid w:val="0049515D"/>
    <w:rsid w:val="004A7D05"/>
    <w:rsid w:val="004C1E55"/>
    <w:rsid w:val="004C1ED3"/>
    <w:rsid w:val="004F3248"/>
    <w:rsid w:val="00507369"/>
    <w:rsid w:val="0052089A"/>
    <w:rsid w:val="00523D61"/>
    <w:rsid w:val="00526966"/>
    <w:rsid w:val="005363B3"/>
    <w:rsid w:val="005549A5"/>
    <w:rsid w:val="00561EE2"/>
    <w:rsid w:val="0056684A"/>
    <w:rsid w:val="00577E77"/>
    <w:rsid w:val="00585CFD"/>
    <w:rsid w:val="00592727"/>
    <w:rsid w:val="005A28F3"/>
    <w:rsid w:val="005A7258"/>
    <w:rsid w:val="005B0C34"/>
    <w:rsid w:val="005D5908"/>
    <w:rsid w:val="005D66EF"/>
    <w:rsid w:val="005E0224"/>
    <w:rsid w:val="005E3828"/>
    <w:rsid w:val="005E6D63"/>
    <w:rsid w:val="005F497A"/>
    <w:rsid w:val="005F6C6F"/>
    <w:rsid w:val="00604632"/>
    <w:rsid w:val="00610850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7D01"/>
    <w:rsid w:val="00782A1F"/>
    <w:rsid w:val="0079023E"/>
    <w:rsid w:val="007A20FE"/>
    <w:rsid w:val="007A28C3"/>
    <w:rsid w:val="007A3064"/>
    <w:rsid w:val="007B3230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3BA3"/>
    <w:rsid w:val="00850747"/>
    <w:rsid w:val="0086268E"/>
    <w:rsid w:val="008633C0"/>
    <w:rsid w:val="00864813"/>
    <w:rsid w:val="008754EB"/>
    <w:rsid w:val="008901BB"/>
    <w:rsid w:val="008947F0"/>
    <w:rsid w:val="00894EBA"/>
    <w:rsid w:val="0089578F"/>
    <w:rsid w:val="00895991"/>
    <w:rsid w:val="008A0B83"/>
    <w:rsid w:val="008B19E7"/>
    <w:rsid w:val="008B32CD"/>
    <w:rsid w:val="008B5E3D"/>
    <w:rsid w:val="008C6AD6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6AF2"/>
    <w:rsid w:val="009822C3"/>
    <w:rsid w:val="00984DDF"/>
    <w:rsid w:val="00992A84"/>
    <w:rsid w:val="009A0DA0"/>
    <w:rsid w:val="009A3149"/>
    <w:rsid w:val="009A53C1"/>
    <w:rsid w:val="009B2B7F"/>
    <w:rsid w:val="009B3B5E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7B4C"/>
    <w:rsid w:val="00A43676"/>
    <w:rsid w:val="00A45988"/>
    <w:rsid w:val="00A463E9"/>
    <w:rsid w:val="00A52121"/>
    <w:rsid w:val="00A5525E"/>
    <w:rsid w:val="00A56183"/>
    <w:rsid w:val="00A65426"/>
    <w:rsid w:val="00A67A23"/>
    <w:rsid w:val="00A73490"/>
    <w:rsid w:val="00A81118"/>
    <w:rsid w:val="00A82CCC"/>
    <w:rsid w:val="00A83183"/>
    <w:rsid w:val="00A87F25"/>
    <w:rsid w:val="00AA08FE"/>
    <w:rsid w:val="00AA44BD"/>
    <w:rsid w:val="00AA5EFE"/>
    <w:rsid w:val="00AB4389"/>
    <w:rsid w:val="00AC3F73"/>
    <w:rsid w:val="00AC6F3C"/>
    <w:rsid w:val="00AD1116"/>
    <w:rsid w:val="00B034BA"/>
    <w:rsid w:val="00B04A9F"/>
    <w:rsid w:val="00B06FCF"/>
    <w:rsid w:val="00B20EB6"/>
    <w:rsid w:val="00B40B6B"/>
    <w:rsid w:val="00B42677"/>
    <w:rsid w:val="00B543B8"/>
    <w:rsid w:val="00B54874"/>
    <w:rsid w:val="00B560B6"/>
    <w:rsid w:val="00B65B9D"/>
    <w:rsid w:val="00B70095"/>
    <w:rsid w:val="00B96133"/>
    <w:rsid w:val="00B9692D"/>
    <w:rsid w:val="00BA549A"/>
    <w:rsid w:val="00BA5C0C"/>
    <w:rsid w:val="00BA714B"/>
    <w:rsid w:val="00BC3F17"/>
    <w:rsid w:val="00BD3333"/>
    <w:rsid w:val="00BE0BB7"/>
    <w:rsid w:val="00BF1F3E"/>
    <w:rsid w:val="00C0483D"/>
    <w:rsid w:val="00C06C0E"/>
    <w:rsid w:val="00C06CD5"/>
    <w:rsid w:val="00C315A1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C5F04"/>
    <w:rsid w:val="00CF7FE8"/>
    <w:rsid w:val="00D20220"/>
    <w:rsid w:val="00D26102"/>
    <w:rsid w:val="00D42E5B"/>
    <w:rsid w:val="00D563C2"/>
    <w:rsid w:val="00D6446D"/>
    <w:rsid w:val="00D65B94"/>
    <w:rsid w:val="00D7617F"/>
    <w:rsid w:val="00D76AFD"/>
    <w:rsid w:val="00D91ACE"/>
    <w:rsid w:val="00DA1D7D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F14B4"/>
    <w:rsid w:val="00DF5649"/>
    <w:rsid w:val="00E03B72"/>
    <w:rsid w:val="00E3376A"/>
    <w:rsid w:val="00E33970"/>
    <w:rsid w:val="00E45CC5"/>
    <w:rsid w:val="00E45F74"/>
    <w:rsid w:val="00E6483C"/>
    <w:rsid w:val="00E73E53"/>
    <w:rsid w:val="00E775DE"/>
    <w:rsid w:val="00E90C66"/>
    <w:rsid w:val="00E918D1"/>
    <w:rsid w:val="00E92B77"/>
    <w:rsid w:val="00E95D98"/>
    <w:rsid w:val="00EA145F"/>
    <w:rsid w:val="00EA6854"/>
    <w:rsid w:val="00EA76F0"/>
    <w:rsid w:val="00EC05C7"/>
    <w:rsid w:val="00EF4683"/>
    <w:rsid w:val="00EF7F4B"/>
    <w:rsid w:val="00F21BC2"/>
    <w:rsid w:val="00F33365"/>
    <w:rsid w:val="00F52813"/>
    <w:rsid w:val="00F55710"/>
    <w:rsid w:val="00F65D37"/>
    <w:rsid w:val="00F76B68"/>
    <w:rsid w:val="00F7753F"/>
    <w:rsid w:val="00F80C51"/>
    <w:rsid w:val="00F87A65"/>
    <w:rsid w:val="00FA4358"/>
    <w:rsid w:val="00FB2570"/>
    <w:rsid w:val="00FC1486"/>
    <w:rsid w:val="00FC2DBA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BA64"/>
  <w15:docId w15:val="{44A27C51-6149-4C82-AFC7-2CB56289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Windows Kullanıcısı</cp:lastModifiedBy>
  <cp:revision>6</cp:revision>
  <dcterms:created xsi:type="dcterms:W3CDTF">2019-10-14T06:09:00Z</dcterms:created>
  <dcterms:modified xsi:type="dcterms:W3CDTF">2019-10-16T06:14:00Z</dcterms:modified>
</cp:coreProperties>
</file>