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F" w:rsidRDefault="005C5A7C">
      <w:pPr>
        <w:pStyle w:val="GvdeMetni"/>
        <w:spacing w:before="47"/>
        <w:ind w:left="2947" w:right="2889"/>
        <w:jc w:val="center"/>
      </w:pPr>
      <w:r>
        <w:pict>
          <v:group id="_x0000_s1051" style="position:absolute;left:0;text-align:left;margin-left:20.15pt;margin-top:573.85pt;width:558.6pt;height:60.85pt;z-index:-251657728;mso-position-horizontal-relative:page;mso-position-vertical-relative:page" coordorigin="403,11477" coordsize="11172,1217">
            <v:shape id="_x0000_s1055" style="position:absolute;left:3917;top:11492;width:1134;height:457" coordorigin="3917,11492" coordsize="1134,457" path="m3917,11492r1134,l5051,11857r-567,92l3917,11857r,-365xe" filled="f" strokeweight="1.5pt">
              <v:path arrowok="t"/>
            </v:shape>
            <v:line id="_x0000_s1054" style="position:absolute" from="410,11661" to="11567,11661">
              <v:stroke dashstyle="dash"/>
            </v:line>
            <v:rect id="_x0000_s1053" style="position:absolute;left:3659;top:12311;width:1800;height:368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447;top:11949;width:120;height:362">
              <v:imagedata r:id="rId5" o:title=""/>
            </v:shape>
            <w10:wrap anchorx="page" anchory="page"/>
          </v:group>
        </w:pict>
      </w:r>
      <w:r w:rsidR="00D34C73">
        <w:t>STRATEJİ GELİŞTİRME DAİRE BAŞKANLIĞI</w:t>
      </w:r>
    </w:p>
    <w:p w:rsidR="005C5A7C" w:rsidRDefault="005C5A7C" w:rsidP="005C5A7C">
      <w:pPr>
        <w:pStyle w:val="GvdeMetni"/>
        <w:spacing w:after="3"/>
        <w:ind w:left="2160" w:right="2889" w:firstLine="720"/>
        <w:jc w:val="center"/>
      </w:pPr>
      <w:r>
        <w:pict>
          <v:group id="_x0000_s1027" style="position:absolute;left:0;text-align:left;margin-left:23.35pt;margin-top:36.85pt;width:544.5pt;height:489.05pt;z-index:-251658752;mso-position-horizontal-relative:page" coordorigin="467,737" coordsize="10890,9781">
            <v:shape id="_x0000_s1050" style="position:absolute;left:3089;top:752;width:2880;height:540" coordorigin="3089,752" coordsize="2880,540" path="m3179,752r-35,7l3115,779r-19,28l3089,842r,360l3096,1237r19,29l3144,1285r35,7l5879,1292r35,-7l5943,1266r19,-29l5969,1202r,-360l5962,807r-19,-28l5914,759r-35,-7l3179,752xe" filled="f" strokeweight="1.5pt">
              <v:path arrowok="t"/>
            </v:shape>
            <v:shape id="_x0000_s1049" type="#_x0000_t75" style="position:absolute;left:4469;top:1293;width:120;height:272">
              <v:imagedata r:id="rId6" o:title=""/>
            </v:shape>
            <v:line id="_x0000_s1048" style="position:absolute" from="492,1519" to="11349,1519">
              <v:stroke dashstyle="dash"/>
            </v:line>
            <v:shape id="_x0000_s1047" style="position:absolute;left:2907;top:1570;width:3240;height:1091" coordorigin="2907,1570" coordsize="3240,1091" path="m4527,1570l2907,2116r1620,545l6147,2116,4527,1570xe" filled="f" strokeweight="1.5pt">
              <v:path arrowok="t"/>
            </v:shape>
            <v:rect id="_x0000_s1046" style="position:absolute;left:3087;top:3759;width:2880;height:562" filled="f" strokeweight="1.5pt"/>
            <v:line id="_x0000_s1045" style="position:absolute" from="4529,4321" to="4529,10338" strokeweight="1.5pt"/>
            <v:shape id="_x0000_s1044" type="#_x0000_t75" style="position:absolute;left:4529;top:4975;width:360;height:120">
              <v:imagedata r:id="rId7" o:title=""/>
            </v:shape>
            <v:shape id="_x0000_s1043" type="#_x0000_t75" style="position:absolute;left:4167;top:6649;width:340;height:120">
              <v:imagedata r:id="rId8" o:title=""/>
            </v:shape>
            <v:shape id="_x0000_s1042" type="#_x0000_t75" style="position:absolute;left:4167;top:9634;width:340;height:120">
              <v:imagedata r:id="rId8" o:title=""/>
            </v:shape>
            <v:line id="_x0000_s1041" style="position:absolute" from="486,4419" to="11343,4419">
              <v:stroke dashstyle="dash"/>
            </v:line>
            <v:line id="_x0000_s1040" style="position:absolute" from="486,5923" to="11343,5923">
              <v:stroke dashstyle="dash"/>
            </v:line>
            <v:shape id="_x0000_s1039" type="#_x0000_t75" style="position:absolute;left:4529;top:8311;width:360;height:120">
              <v:imagedata r:id="rId7" o:title=""/>
            </v:shape>
            <v:line id="_x0000_s1038" style="position:absolute" from="486,7673" to="11343,7673">
              <v:stroke dashstyle="dash"/>
            </v:line>
            <v:line id="_x0000_s1037" style="position:absolute" from="492,8986" to="11349,8986">
              <v:stroke dashstyle="dash"/>
            </v:line>
            <v:shape id="_x0000_s1036" style="position:absolute;left:2367;top:4660;width:4261;height:2412" coordorigin="2367,4660" coordsize="4261,2412" o:spt="100" adj="0,,0" path="m4887,5539r1741,l6628,4660r-1741,l4887,5539xm2367,7072r1741,l4108,6264r-1741,l2367,7072xe" filled="f" strokeweight="1.5pt">
              <v:stroke joinstyle="round"/>
              <v:formulas/>
              <v:path arrowok="t" o:connecttype="segments"/>
            </v:shape>
            <v:line id="_x0000_s1035" style="position:absolute" from="474,2741" to="11331,2741">
              <v:stroke dashstyle="dash"/>
            </v:line>
            <v:line id="_x0000_s1034" style="position:absolute" from="492,3633" to="11349,3633">
              <v:stroke dashstyle="dash"/>
            </v:line>
            <v:shape id="_x0000_s1033" style="position:absolute;left:4469;top:2650;width:120;height:1050" coordorigin="4469,2650" coordsize="120,1050" o:spt="100" adj="0,,0" path="m4514,3580r-45,1l4529,3700r50,-100l4514,3600r,-20xm4544,3580r-30,l4514,3600r30,l4544,3580xm4589,3580r-45,l4544,3600r35,l4589,3580xm4542,2650r-30,l4514,3580r30,l4542,2650xe" fillcolor="black" stroked="f">
              <v:stroke joinstyle="round"/>
              <v:formulas/>
              <v:path arrowok="t" o:connecttype="segments"/>
            </v:shape>
            <v:line id="_x0000_s1032" style="position:absolute" from="6147,2110" to="6900,2128" strokeweight="1.5pt"/>
            <v:shape id="_x0000_s1031" style="position:absolute;left:4887;top:3010;width:1617;height:372" coordorigin="4887,3010" coordsize="1617,372" path="m4949,3010r-24,5l4905,3029r-13,19l4887,3072r,248l4892,3345r13,19l4925,3378r24,4l6442,3382r24,-4l6486,3364r13,-19l6504,3320r,-248l6499,3048r-13,-19l6466,3015r-24,-5l4949,3010xe" filled="f" strokeweight="1.5pt">
              <v:path arrowok="t"/>
            </v:shape>
            <v:shape id="_x0000_s1030" type="#_x0000_t75" style="position:absolute;left:6507;top:3130;width:393;height:120">
              <v:imagedata r:id="rId9" o:title=""/>
            </v:shape>
            <v:shape id="_x0000_s1029" style="position:absolute;left:2367;top:8020;width:4261;height:2236" coordorigin="2367,8020" coordsize="4261,2236" o:spt="100" adj="0,,0" path="m4887,8895r1741,l6628,8020r-1741,l4887,8895xm2367,10256r1741,l4108,9132r-1741,l2367,10256xe" filled="f" strokeweight="1.5pt">
              <v:stroke joinstyle="round"/>
              <v:formulas/>
              <v:path arrowok="t" o:connecttype="segments"/>
            </v:shape>
            <v:shape id="_x0000_s1028" type="#_x0000_t75" style="position:absolute;left:4467;top:10338;width:120;height:180">
              <v:imagedata r:id="rId10" o:title=""/>
            </v:shape>
            <w10:wrap anchorx="page"/>
          </v:group>
        </w:pict>
      </w:r>
      <w:r w:rsidR="00D34C73">
        <w:t xml:space="preserve">BÜTÇE VE PERFORMANS ŞUBE MÜDÜRLÜĞÜ </w:t>
      </w:r>
    </w:p>
    <w:p w:rsidR="00DE621F" w:rsidRDefault="00D34C73" w:rsidP="005C5A7C">
      <w:pPr>
        <w:pStyle w:val="GvdeMetni"/>
        <w:spacing w:after="3"/>
        <w:ind w:left="2160" w:right="2889" w:firstLine="720"/>
        <w:jc w:val="center"/>
      </w:pPr>
      <w:bookmarkStart w:id="0" w:name="_GoBack"/>
      <w:bookmarkEnd w:id="0"/>
      <w:r>
        <w:t>İŞ SÜRECİ FORMU</w:t>
      </w: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"/>
        <w:gridCol w:w="4261"/>
        <w:gridCol w:w="272"/>
        <w:gridCol w:w="189"/>
        <w:gridCol w:w="2840"/>
        <w:gridCol w:w="1620"/>
      </w:tblGrid>
      <w:tr w:rsidR="00DE621F">
        <w:trPr>
          <w:trHeight w:hRule="exact" w:val="214"/>
        </w:trPr>
        <w:tc>
          <w:tcPr>
            <w:tcW w:w="1800" w:type="dxa"/>
          </w:tcPr>
          <w:p w:rsidR="00DE621F" w:rsidRDefault="00D34C73">
            <w:pPr>
              <w:pStyle w:val="TableParagraph"/>
              <w:spacing w:line="178" w:lineRule="exact"/>
              <w:ind w:left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Sorumlular</w:t>
            </w:r>
            <w:proofErr w:type="spellEnd"/>
          </w:p>
        </w:tc>
        <w:tc>
          <w:tcPr>
            <w:tcW w:w="180" w:type="dxa"/>
            <w:tcBorders>
              <w:right w:val="nil"/>
            </w:tcBorders>
          </w:tcPr>
          <w:p w:rsidR="00DE621F" w:rsidRDefault="00D34C73">
            <w:pPr>
              <w:pStyle w:val="TableParagraph"/>
              <w:spacing w:line="178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İ</w:t>
            </w: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DE621F" w:rsidRDefault="00D34C73">
            <w:pPr>
              <w:pStyle w:val="TableParagraph"/>
              <w:spacing w:line="178" w:lineRule="exact"/>
              <w:ind w:left="-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ş </w:t>
            </w:r>
            <w:proofErr w:type="spellStart"/>
            <w:r>
              <w:rPr>
                <w:b/>
                <w:sz w:val="16"/>
              </w:rPr>
              <w:t>Akışı</w:t>
            </w:r>
            <w:proofErr w:type="spellEnd"/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DE621F" w:rsidRDefault="00DE621F"/>
        </w:tc>
        <w:tc>
          <w:tcPr>
            <w:tcW w:w="189" w:type="dxa"/>
            <w:tcBorders>
              <w:left w:val="nil"/>
            </w:tcBorders>
          </w:tcPr>
          <w:p w:rsidR="00DE621F" w:rsidRDefault="00DE621F"/>
        </w:tc>
        <w:tc>
          <w:tcPr>
            <w:tcW w:w="2840" w:type="dxa"/>
          </w:tcPr>
          <w:p w:rsidR="00DE621F" w:rsidRDefault="00D34C73">
            <w:pPr>
              <w:pStyle w:val="TableParagraph"/>
              <w:spacing w:line="178" w:lineRule="exact"/>
              <w:ind w:left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Faaliyet</w:t>
            </w:r>
            <w:proofErr w:type="spellEnd"/>
          </w:p>
        </w:tc>
        <w:tc>
          <w:tcPr>
            <w:tcW w:w="1620" w:type="dxa"/>
          </w:tcPr>
          <w:p w:rsidR="00DE621F" w:rsidRDefault="00D34C73">
            <w:pPr>
              <w:pStyle w:val="TableParagraph"/>
              <w:spacing w:line="178" w:lineRule="exact"/>
              <w:ind w:left="93" w:right="1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Doküman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Kayıt</w:t>
            </w:r>
            <w:proofErr w:type="spellEnd"/>
          </w:p>
        </w:tc>
      </w:tr>
      <w:tr w:rsidR="00DE621F">
        <w:trPr>
          <w:trHeight w:hRule="exact" w:val="11568"/>
        </w:trPr>
        <w:tc>
          <w:tcPr>
            <w:tcW w:w="1800" w:type="dxa"/>
          </w:tcPr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spacing w:before="136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Kayıt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DE621F" w:rsidRDefault="00D34C73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spacing w:before="1" w:line="720" w:lineRule="auto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spacing w:before="125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spacing w:before="139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</w:rPr>
            </w:pPr>
          </w:p>
          <w:p w:rsidR="00DE621F" w:rsidRDefault="00D34C73">
            <w:pPr>
              <w:pStyle w:val="TableParagraph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DE621F" w:rsidRDefault="00D34C73">
            <w:pPr>
              <w:pStyle w:val="TableParagraph"/>
              <w:ind w:left="93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DE621F" w:rsidRDefault="00D34C73">
            <w:pPr>
              <w:pStyle w:val="TableParagraph"/>
              <w:ind w:left="93" w:right="669"/>
              <w:rPr>
                <w:sz w:val="16"/>
              </w:rPr>
            </w:pPr>
            <w:proofErr w:type="spellStart"/>
            <w:r>
              <w:rPr>
                <w:sz w:val="16"/>
              </w:rPr>
              <w:t>Yazıyı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Şube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Kayıt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Sorumlusu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Daire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Başkanı</w:t>
            </w:r>
            <w:proofErr w:type="spellEnd"/>
          </w:p>
        </w:tc>
        <w:tc>
          <w:tcPr>
            <w:tcW w:w="180" w:type="dxa"/>
            <w:tcBorders>
              <w:right w:val="nil"/>
            </w:tcBorders>
          </w:tcPr>
          <w:p w:rsidR="00DE621F" w:rsidRDefault="00DE621F"/>
        </w:tc>
        <w:tc>
          <w:tcPr>
            <w:tcW w:w="4261" w:type="dxa"/>
            <w:tcBorders>
              <w:left w:val="nil"/>
              <w:right w:val="nil"/>
            </w:tcBorders>
          </w:tcPr>
          <w:p w:rsidR="00DE621F" w:rsidRDefault="00DE621F">
            <w:pPr>
              <w:pStyle w:val="TableParagraph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/>
              <w:ind w:left="1245" w:right="117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Gelen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Evrak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E621F" w:rsidRDefault="00D34C73">
            <w:pPr>
              <w:pStyle w:val="TableParagraph"/>
              <w:tabs>
                <w:tab w:val="left" w:pos="3804"/>
              </w:tabs>
              <w:spacing w:line="234" w:lineRule="exact"/>
              <w:ind w:left="1610"/>
              <w:rPr>
                <w:sz w:val="14"/>
              </w:rPr>
            </w:pPr>
            <w:proofErr w:type="spellStart"/>
            <w:r>
              <w:rPr>
                <w:sz w:val="16"/>
              </w:rPr>
              <w:t>Evrak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</w:t>
            </w:r>
            <w:proofErr w:type="spellEnd"/>
            <w:r>
              <w:rPr>
                <w:sz w:val="16"/>
              </w:rPr>
              <w:tab/>
            </w:r>
            <w:r>
              <w:rPr>
                <w:position w:val="7"/>
                <w:sz w:val="14"/>
              </w:rPr>
              <w:t>HAYIR</w:t>
            </w:r>
          </w:p>
          <w:p w:rsidR="00DE621F" w:rsidRDefault="00D34C73">
            <w:pPr>
              <w:pStyle w:val="TableParagraph"/>
              <w:spacing w:line="183" w:lineRule="exact"/>
              <w:ind w:left="1243" w:right="1179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işlem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yapılacak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mı</w:t>
            </w:r>
            <w:proofErr w:type="spellEnd"/>
            <w:r>
              <w:rPr>
                <w:sz w:val="16"/>
              </w:rPr>
              <w:t>?</w:t>
            </w: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 w:line="154" w:lineRule="exact"/>
              <w:ind w:left="720" w:right="11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EVET</w:t>
            </w:r>
          </w:p>
          <w:p w:rsidR="00DE621F" w:rsidRDefault="00D34C73">
            <w:pPr>
              <w:pStyle w:val="TableParagraph"/>
              <w:spacing w:line="177" w:lineRule="exact"/>
              <w:ind w:left="2712"/>
              <w:rPr>
                <w:sz w:val="16"/>
              </w:rPr>
            </w:pPr>
            <w:proofErr w:type="spellStart"/>
            <w:r>
              <w:rPr>
                <w:sz w:val="16"/>
              </w:rPr>
              <w:t>Dosyaya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kaldırılır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ind w:left="1245" w:right="117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Evrakların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içerisinde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yönlendirilmesi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2894" w:right="3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Bütçe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Hazırlık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işlemleri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spacing w:before="133"/>
              <w:ind w:left="213" w:right="27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Bütçe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Harcama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İşlemleri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spacing w:before="99" w:line="242" w:lineRule="auto"/>
              <w:ind w:left="2693" w:right="167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gelirlerin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Tahakkuk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Tahsil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Takip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Kayıt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İşleri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:rsidR="00DE621F" w:rsidRDefault="00D34C73">
            <w:pPr>
              <w:pStyle w:val="TableParagraph"/>
              <w:ind w:left="191" w:right="2705" w:hanging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Yıllık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Yatırım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Programı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Bütçe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Performans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Koordinasyon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İşleri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6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DE621F" w:rsidRDefault="00D34C73">
            <w:pPr>
              <w:pStyle w:val="TableParagraph"/>
              <w:ind w:left="1245" w:right="111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Yazışma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İşlemleri</w:t>
            </w:r>
            <w:proofErr w:type="spellEnd"/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DE621F" w:rsidRDefault="00DE621F"/>
        </w:tc>
        <w:tc>
          <w:tcPr>
            <w:tcW w:w="189" w:type="dxa"/>
            <w:tcBorders>
              <w:left w:val="nil"/>
            </w:tcBorders>
          </w:tcPr>
          <w:p w:rsidR="00DE621F" w:rsidRDefault="00DE621F"/>
        </w:tc>
        <w:tc>
          <w:tcPr>
            <w:tcW w:w="2840" w:type="dxa"/>
          </w:tcPr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spacing w:before="1"/>
              <w:ind w:left="93" w:right="94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yolu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elektronik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ortamdan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sistemden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zimmet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defteri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teslim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93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Gelen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hangi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işlemin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yapılacağına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karar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verilir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93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Herhangi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işlem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yapılmayacağına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karar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verilen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bilgi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amaçlı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kayıt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dosyasına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kaldırılır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/>
              <w:ind w:left="93" w:right="94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Evraklar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incelenir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pararflanarak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personele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sevk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93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Orta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Vadeli</w:t>
            </w:r>
            <w:proofErr w:type="spellEnd"/>
            <w:r>
              <w:rPr>
                <w:sz w:val="14"/>
              </w:rPr>
              <w:t xml:space="preserve"> Program,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Çağrısı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Hazırlama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Rehberi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takip</w:t>
            </w:r>
            <w:proofErr w:type="spellEnd"/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34C73">
            <w:pPr>
              <w:pStyle w:val="TableParagraph"/>
              <w:spacing w:before="2"/>
              <w:ind w:left="93" w:right="94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Bağlı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okullarla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koordinasyon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sağlanarak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Rehberde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bilgilere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göre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üç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yıllık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Kanunu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Teklifi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Tasarısı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oluşturulur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93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Yıllık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Kanunu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tahsis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edilen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ödenekler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çerçevesinde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Ayrıntılı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Harcama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Finansman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hazırlanır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34C73">
            <w:pPr>
              <w:pStyle w:val="TableParagraph"/>
              <w:spacing w:line="242" w:lineRule="auto"/>
              <w:ind w:left="93" w:right="95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Serbest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bırakılan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ödenekler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mevzuata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uygun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şekilde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kullandırılır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34C73">
            <w:pPr>
              <w:pStyle w:val="TableParagraph"/>
              <w:ind w:left="93" w:right="92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Birimlerin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ödeneklerine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ilişkin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serbest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ödenek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revizyonu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aktarma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ilave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ödenek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taleplerine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dış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94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Öz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ödenekleri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kaynaklarından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takip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34C73">
            <w:pPr>
              <w:pStyle w:val="TableParagraph"/>
              <w:ind w:left="93" w:right="95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Günü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alacakların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Daire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Başkanlığı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hesapları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ilgili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tertiplerine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aktarılması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gerekli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iç</w:t>
            </w:r>
            <w:proofErr w:type="spellEnd"/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ve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dış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spacing w:before="1"/>
              <w:ind w:left="93" w:right="93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Üniversitemiz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yıllık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yatırım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Programının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hazırlık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süreci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koordine</w:t>
            </w:r>
            <w:proofErr w:type="spellEnd"/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edilir</w:t>
            </w:r>
            <w:proofErr w:type="spellEnd"/>
            <w:proofErr w:type="gram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gerçekleşme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raporları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brifing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tabloları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hazırlanır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34C73">
            <w:pPr>
              <w:pStyle w:val="TableParagraph"/>
              <w:tabs>
                <w:tab w:val="left" w:pos="671"/>
                <w:tab w:val="left" w:pos="1998"/>
              </w:tabs>
              <w:ind w:left="93" w:right="93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Performans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Programlarının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hazırlık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değerlendirme</w:t>
            </w:r>
            <w:proofErr w:type="spellEnd"/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süreçlerinin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koordinasyon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takipleri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yapılır</w:t>
            </w:r>
            <w:proofErr w:type="spellEnd"/>
            <w:r>
              <w:rPr>
                <w:sz w:val="14"/>
              </w:rPr>
              <w:t>.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95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Üniversite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dışı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işlemleri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giden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akışına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başkanlık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akış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süreci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formuna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göre</w:t>
            </w:r>
            <w:proofErr w:type="spellEnd"/>
            <w:r>
              <w:rPr>
                <w:sz w:val="14"/>
              </w:rPr>
              <w:t xml:space="preserve"> EBYS </w:t>
            </w:r>
            <w:proofErr w:type="spellStart"/>
            <w:r>
              <w:rPr>
                <w:sz w:val="14"/>
              </w:rPr>
              <w:t>sistemi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üzerinden</w:t>
            </w:r>
            <w:proofErr w:type="spellEnd"/>
            <w:r>
              <w:rPr>
                <w:spacing w:val="-1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yapılır</w:t>
            </w:r>
            <w:proofErr w:type="spellEnd"/>
          </w:p>
        </w:tc>
        <w:tc>
          <w:tcPr>
            <w:tcW w:w="1620" w:type="dxa"/>
          </w:tcPr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762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</w:t>
            </w:r>
            <w:proofErr w:type="spellEnd"/>
            <w:r>
              <w:rPr>
                <w:sz w:val="14"/>
              </w:rPr>
              <w:t xml:space="preserve"> EBYS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Birim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Evrak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Dosya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Dolabı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r>
              <w:rPr>
                <w:sz w:val="14"/>
              </w:rPr>
              <w:t>EBYS</w:t>
            </w: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spacing w:line="242" w:lineRule="auto"/>
              <w:ind w:left="93" w:right="155"/>
              <w:rPr>
                <w:sz w:val="14"/>
              </w:rPr>
            </w:pPr>
            <w:r>
              <w:rPr>
                <w:sz w:val="14"/>
              </w:rPr>
              <w:t xml:space="preserve">5018 </w:t>
            </w:r>
            <w:proofErr w:type="spellStart"/>
            <w:r>
              <w:rPr>
                <w:sz w:val="14"/>
              </w:rPr>
              <w:t>Sayılı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Kanun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İkincil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Mevzuatı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Ekleri</w:t>
            </w:r>
            <w:proofErr w:type="spellEnd"/>
          </w:p>
          <w:p w:rsidR="00DE621F" w:rsidRDefault="00DE621F">
            <w:pPr>
              <w:pStyle w:val="TableParagraph"/>
              <w:spacing w:before="9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Gazete</w:t>
            </w:r>
            <w:proofErr w:type="spellEnd"/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257"/>
              <w:rPr>
                <w:sz w:val="14"/>
              </w:rPr>
            </w:pPr>
            <w:proofErr w:type="spellStart"/>
            <w:r>
              <w:rPr>
                <w:sz w:val="14"/>
              </w:rPr>
              <w:t>Maliye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Bakanlığı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Duyuruları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Ekleri</w:t>
            </w:r>
            <w:proofErr w:type="spellEnd"/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Ayrıntılı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Harcama</w:t>
            </w:r>
            <w:proofErr w:type="spellEnd"/>
            <w:r>
              <w:rPr>
                <w:w w:val="95"/>
                <w:sz w:val="14"/>
              </w:rPr>
              <w:t>/</w:t>
            </w:r>
            <w:proofErr w:type="spellStart"/>
            <w:r>
              <w:rPr>
                <w:w w:val="95"/>
                <w:sz w:val="14"/>
              </w:rPr>
              <w:t>Finansman</w:t>
            </w:r>
            <w:proofErr w:type="spellEnd"/>
            <w:r>
              <w:rPr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Programı</w:t>
            </w:r>
            <w:proofErr w:type="spellEnd"/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r>
              <w:rPr>
                <w:sz w:val="14"/>
              </w:rPr>
              <w:t>“e-</w:t>
            </w:r>
            <w:proofErr w:type="spellStart"/>
            <w:r>
              <w:rPr>
                <w:sz w:val="14"/>
              </w:rPr>
              <w:t>bütçe</w:t>
            </w:r>
            <w:proofErr w:type="spellEnd"/>
            <w:r>
              <w:rPr>
                <w:sz w:val="14"/>
              </w:rPr>
              <w:t xml:space="preserve">” </w:t>
            </w:r>
            <w:proofErr w:type="spellStart"/>
            <w:r>
              <w:rPr>
                <w:sz w:val="14"/>
              </w:rPr>
              <w:t>Programı</w:t>
            </w:r>
            <w:proofErr w:type="spellEnd"/>
          </w:p>
          <w:p w:rsidR="00DE621F" w:rsidRDefault="00DE621F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186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Kuralları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Yönetmeliği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40"/>
              <w:rPr>
                <w:sz w:val="14"/>
              </w:rPr>
            </w:pPr>
            <w:proofErr w:type="spellStart"/>
            <w:r>
              <w:rPr>
                <w:sz w:val="14"/>
              </w:rPr>
              <w:t>Öz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Takip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Formu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spacing w:before="1"/>
              <w:ind w:left="93" w:right="186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Kuralları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Yönetmeliği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proofErr w:type="spellStart"/>
            <w:r>
              <w:rPr>
                <w:sz w:val="14"/>
              </w:rPr>
              <w:t>Yıllık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Yatırım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Hazırlama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Rehberi</w:t>
            </w:r>
            <w:proofErr w:type="spellEnd"/>
            <w:r>
              <w:rPr>
                <w:sz w:val="14"/>
              </w:rPr>
              <w:t xml:space="preserve"> (DPT)</w:t>
            </w: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40"/>
              <w:rPr>
                <w:sz w:val="14"/>
              </w:rPr>
            </w:pPr>
            <w:proofErr w:type="spellStart"/>
            <w:r>
              <w:rPr>
                <w:sz w:val="14"/>
              </w:rPr>
              <w:t>Performans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Hazırlama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Rehberi</w:t>
            </w:r>
            <w:proofErr w:type="spellEnd"/>
            <w:r>
              <w:rPr>
                <w:sz w:val="14"/>
              </w:rPr>
              <w:t xml:space="preserve"> (MB)</w:t>
            </w:r>
          </w:p>
          <w:p w:rsidR="00DE621F" w:rsidRDefault="00DE621F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DE621F" w:rsidRDefault="00D34C73">
            <w:pPr>
              <w:pStyle w:val="TableParagraph"/>
              <w:ind w:left="93" w:right="155"/>
              <w:rPr>
                <w:sz w:val="14"/>
              </w:rPr>
            </w:pPr>
            <w:r>
              <w:rPr>
                <w:sz w:val="14"/>
              </w:rPr>
              <w:t xml:space="preserve">YÖK </w:t>
            </w:r>
            <w:proofErr w:type="spellStart"/>
            <w:r>
              <w:rPr>
                <w:sz w:val="14"/>
              </w:rPr>
              <w:t>Duyuruları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Ekleri</w:t>
            </w:r>
            <w:proofErr w:type="spellEnd"/>
          </w:p>
          <w:p w:rsidR="00DE621F" w:rsidRDefault="00DE621F">
            <w:pPr>
              <w:pStyle w:val="TableParagraph"/>
              <w:rPr>
                <w:b/>
                <w:i/>
                <w:sz w:val="14"/>
              </w:rPr>
            </w:pPr>
          </w:p>
          <w:p w:rsidR="00DE621F" w:rsidRDefault="00DE621F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DE621F" w:rsidRDefault="00D34C73">
            <w:pPr>
              <w:pStyle w:val="TableParagraph"/>
              <w:spacing w:before="1"/>
              <w:ind w:left="93"/>
              <w:rPr>
                <w:sz w:val="14"/>
              </w:rPr>
            </w:pPr>
            <w:proofErr w:type="spellStart"/>
            <w:r>
              <w:rPr>
                <w:sz w:val="14"/>
              </w:rPr>
              <w:t>Resmi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Yazışma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Kurallarına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İlişkin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Usul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Esaslar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Hk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Yön</w:t>
            </w:r>
            <w:proofErr w:type="spellEnd"/>
            <w:r>
              <w:rPr>
                <w:sz w:val="14"/>
              </w:rPr>
              <w:t>. EBYS</w:t>
            </w:r>
          </w:p>
        </w:tc>
      </w:tr>
    </w:tbl>
    <w:p w:rsidR="00DE621F" w:rsidRDefault="00DE621F">
      <w:pPr>
        <w:rPr>
          <w:b/>
          <w:i/>
          <w:sz w:val="20"/>
        </w:rPr>
      </w:pPr>
    </w:p>
    <w:p w:rsidR="00DE621F" w:rsidRDefault="00DE621F">
      <w:pPr>
        <w:rPr>
          <w:b/>
          <w:i/>
          <w:sz w:val="20"/>
        </w:rPr>
      </w:pPr>
    </w:p>
    <w:p w:rsidR="00DE621F" w:rsidRDefault="005C5A7C">
      <w:pPr>
        <w:spacing w:before="8"/>
        <w:rPr>
          <w:b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9pt;margin-top:15.3pt;width:558.4pt;height:81.6pt;z-index:251656704;mso-wrap-distance-left:0;mso-wrap-distance-right:0;mso-position-horizontal-relative:page" filled="f" strokeweight=".48pt">
            <v:textbox inset="0,0,0,0">
              <w:txbxContent>
                <w:p w:rsidR="00DE621F" w:rsidRDefault="00D34C73">
                  <w:pPr>
                    <w:spacing w:before="37" w:line="368" w:lineRule="exact"/>
                    <w:ind w:left="7877" w:right="1928" w:firstLine="278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Onaylayan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  <w:p w:rsidR="002636BC" w:rsidRDefault="002636BC" w:rsidP="002636BC">
                  <w:pPr>
                    <w:spacing w:before="37" w:line="368" w:lineRule="exact"/>
                    <w:ind w:left="7877" w:right="1928" w:firstLine="61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Müzeyyen</w:t>
                  </w:r>
                  <w:proofErr w:type="spellEnd"/>
                  <w:r>
                    <w:rPr>
                      <w:sz w:val="16"/>
                    </w:rPr>
                    <w:t xml:space="preserve"> AKÇA</w:t>
                  </w:r>
                </w:p>
                <w:p w:rsidR="00DE621F" w:rsidRDefault="00D34C73">
                  <w:pPr>
                    <w:spacing w:line="145" w:lineRule="exact"/>
                    <w:ind w:right="2083"/>
                    <w:jc w:val="right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Daire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Başkanı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sectPr w:rsidR="00DE621F">
      <w:type w:val="continuous"/>
      <w:pgSz w:w="11910" w:h="16840"/>
      <w:pgMar w:top="640" w:right="1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621F"/>
    <w:rsid w:val="002636BC"/>
    <w:rsid w:val="005C5A7C"/>
    <w:rsid w:val="00D34C73"/>
    <w:rsid w:val="00D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STDB</dc:creator>
  <cp:lastModifiedBy>KORKMAZ</cp:lastModifiedBy>
  <cp:revision>4</cp:revision>
  <cp:lastPrinted>2017-07-21T05:25:00Z</cp:lastPrinted>
  <dcterms:created xsi:type="dcterms:W3CDTF">2017-07-21T05:23:00Z</dcterms:created>
  <dcterms:modified xsi:type="dcterms:W3CDTF">2017-08-18T12:37:00Z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2017-07-21T00:00:00Z</vt:filetime>
  </property>
</Properties>
</file>