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0"/>
        <w:gridCol w:w="991"/>
        <w:gridCol w:w="857"/>
        <w:gridCol w:w="3809"/>
        <w:gridCol w:w="1134"/>
        <w:gridCol w:w="992"/>
        <w:gridCol w:w="1843"/>
      </w:tblGrid>
      <w:tr w:rsidR="00246491" w:rsidTr="00625D16">
        <w:trPr>
          <w:trHeight w:hRule="exact" w:val="593"/>
        </w:trPr>
        <w:tc>
          <w:tcPr>
            <w:tcW w:w="13750" w:type="dxa"/>
            <w:gridSpan w:val="9"/>
          </w:tcPr>
          <w:p w:rsidR="00246491" w:rsidRDefault="00246491" w:rsidP="00530E4B">
            <w:pPr>
              <w:pStyle w:val="TableParagraph"/>
              <w:spacing w:before="150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OSMANİYE KORKUT ATA ÜNİVERSİTESİ RİSK ETKİ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OLASILIK DEĞERLENDİRME TABLOSU</w:t>
            </w:r>
          </w:p>
        </w:tc>
      </w:tr>
      <w:tr w:rsidR="00246491" w:rsidTr="00625D16">
        <w:trPr>
          <w:trHeight w:hRule="exact" w:val="749"/>
        </w:trPr>
        <w:tc>
          <w:tcPr>
            <w:tcW w:w="1594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2530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46491" w:rsidRDefault="00246491" w:rsidP="00530E4B">
            <w:pPr>
              <w:pStyle w:val="TableParagraph"/>
              <w:spacing w:line="274" w:lineRule="exact"/>
              <w:ind w:left="47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246491" w:rsidRDefault="00246491" w:rsidP="00530E4B">
            <w:pPr>
              <w:pStyle w:val="TableParagraph"/>
              <w:spacing w:line="274" w:lineRule="exact"/>
              <w:ind w:left="479" w:right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8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3809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2126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843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Durumu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46491" w:rsidTr="00625D16">
        <w:trPr>
          <w:trHeight w:hRule="exact" w:val="1047"/>
        </w:trPr>
        <w:tc>
          <w:tcPr>
            <w:tcW w:w="850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44" w:type="dxa"/>
            <w:textDirection w:val="btLr"/>
          </w:tcPr>
          <w:p w:rsidR="00246491" w:rsidRDefault="00246491" w:rsidP="00530E4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530" w:type="dxa"/>
            <w:vMerge/>
          </w:tcPr>
          <w:p w:rsidR="00246491" w:rsidRDefault="00246491" w:rsidP="00530E4B"/>
        </w:tc>
        <w:tc>
          <w:tcPr>
            <w:tcW w:w="991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857" w:type="dxa"/>
            <w:textDirection w:val="btLr"/>
          </w:tcPr>
          <w:p w:rsidR="00246491" w:rsidRDefault="00246491" w:rsidP="00530E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3809" w:type="dxa"/>
            <w:vMerge/>
          </w:tcPr>
          <w:p w:rsidR="00246491" w:rsidRDefault="00246491" w:rsidP="00530E4B"/>
        </w:tc>
        <w:tc>
          <w:tcPr>
            <w:tcW w:w="1134" w:type="dxa"/>
            <w:textDirection w:val="btLr"/>
          </w:tcPr>
          <w:p w:rsidR="00246491" w:rsidRDefault="00246491" w:rsidP="00530E4B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992" w:type="dxa"/>
            <w:textDirection w:val="btLr"/>
          </w:tcPr>
          <w:p w:rsidR="00246491" w:rsidRDefault="00246491" w:rsidP="00530E4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46491" w:rsidRDefault="00246491" w:rsidP="00530E4B"/>
        </w:tc>
      </w:tr>
      <w:tr w:rsidR="0040051B" w:rsidTr="00DF5C91">
        <w:trPr>
          <w:trHeight w:hRule="exact" w:val="790"/>
        </w:trPr>
        <w:tc>
          <w:tcPr>
            <w:tcW w:w="850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2530" w:type="dxa"/>
            <w:vAlign w:val="center"/>
          </w:tcPr>
          <w:p w:rsidR="0040051B" w:rsidRDefault="0040051B" w:rsidP="0040051B">
            <w:r>
              <w:t xml:space="preserve">1-Açıktan </w:t>
            </w:r>
            <w:proofErr w:type="spellStart"/>
            <w:r>
              <w:t>atamanın</w:t>
            </w:r>
            <w:proofErr w:type="spellEnd"/>
            <w:r>
              <w:t xml:space="preserve"> </w:t>
            </w:r>
            <w:proofErr w:type="spellStart"/>
            <w:r>
              <w:t>hatalı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  <w:p w:rsidR="0040051B" w:rsidRDefault="0040051B" w:rsidP="0040051B">
            <w:pPr>
              <w:ind w:left="360"/>
            </w:pPr>
          </w:p>
        </w:tc>
        <w:tc>
          <w:tcPr>
            <w:tcW w:w="991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857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3809" w:type="dxa"/>
            <w:vAlign w:val="center"/>
          </w:tcPr>
          <w:p w:rsidR="0040051B" w:rsidRDefault="0040051B" w:rsidP="0040051B"/>
        </w:tc>
        <w:tc>
          <w:tcPr>
            <w:tcW w:w="1134" w:type="dxa"/>
            <w:vAlign w:val="center"/>
          </w:tcPr>
          <w:p w:rsidR="0040051B" w:rsidRDefault="0040051B" w:rsidP="0040051B">
            <w:proofErr w:type="spellStart"/>
            <w:r w:rsidRPr="00036756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0051B" w:rsidRDefault="0040051B" w:rsidP="0040051B">
            <w:proofErr w:type="spellStart"/>
            <w:r w:rsidRPr="00036756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625D16" w:rsidRPr="00625D16" w:rsidRDefault="00625D16" w:rsidP="0040051B">
            <w:pPr>
              <w:jc w:val="center"/>
            </w:pPr>
          </w:p>
          <w:p w:rsidR="0040051B" w:rsidRPr="00625D16" w:rsidRDefault="0040051B" w:rsidP="00625D16"/>
        </w:tc>
      </w:tr>
      <w:tr w:rsidR="0040051B" w:rsidTr="00DF5C91">
        <w:trPr>
          <w:trHeight w:hRule="exact" w:val="1071"/>
        </w:trPr>
        <w:tc>
          <w:tcPr>
            <w:tcW w:w="850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2530" w:type="dxa"/>
            <w:vAlign w:val="center"/>
          </w:tcPr>
          <w:p w:rsidR="0040051B" w:rsidRDefault="0040051B" w:rsidP="0040051B">
            <w:r>
              <w:t>2-</w:t>
            </w:r>
            <w:r>
              <w:rPr>
                <w:sz w:val="24"/>
                <w:szCs w:val="24"/>
                <w:lang w:eastAsia="tr-TR"/>
              </w:rPr>
              <w:t xml:space="preserve">Naklen </w:t>
            </w:r>
            <w:proofErr w:type="spellStart"/>
            <w:r>
              <w:rPr>
                <w:sz w:val="24"/>
                <w:szCs w:val="24"/>
                <w:lang w:eastAsia="tr-TR"/>
              </w:rPr>
              <w:t>atamanın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hatalı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yapılması</w:t>
            </w:r>
            <w:proofErr w:type="spellEnd"/>
          </w:p>
        </w:tc>
        <w:tc>
          <w:tcPr>
            <w:tcW w:w="991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857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3809" w:type="dxa"/>
            <w:vAlign w:val="center"/>
          </w:tcPr>
          <w:p w:rsidR="0040051B" w:rsidRDefault="0040051B" w:rsidP="0040051B"/>
        </w:tc>
        <w:tc>
          <w:tcPr>
            <w:tcW w:w="1134" w:type="dxa"/>
            <w:vAlign w:val="center"/>
          </w:tcPr>
          <w:p w:rsidR="0040051B" w:rsidRDefault="0040051B" w:rsidP="0040051B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0051B" w:rsidRDefault="0040051B" w:rsidP="0040051B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40051B" w:rsidRPr="00625D16" w:rsidRDefault="0040051B" w:rsidP="0040051B">
            <w:pPr>
              <w:jc w:val="center"/>
            </w:pPr>
          </w:p>
        </w:tc>
      </w:tr>
      <w:tr w:rsidR="0040051B" w:rsidTr="00DF5C91">
        <w:trPr>
          <w:trHeight w:hRule="exact" w:val="983"/>
        </w:trPr>
        <w:tc>
          <w:tcPr>
            <w:tcW w:w="850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2530" w:type="dxa"/>
            <w:vAlign w:val="center"/>
          </w:tcPr>
          <w:p w:rsidR="0040051B" w:rsidRDefault="0040051B" w:rsidP="0040051B">
            <w:r>
              <w:t xml:space="preserve">3-Akademik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terfi</w:t>
            </w:r>
            <w:proofErr w:type="spellEnd"/>
            <w:r>
              <w:t xml:space="preserve"> </w:t>
            </w:r>
            <w:proofErr w:type="spellStart"/>
            <w:r>
              <w:t>işlemlerinde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991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857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3809" w:type="dxa"/>
            <w:vAlign w:val="center"/>
          </w:tcPr>
          <w:p w:rsidR="0040051B" w:rsidRDefault="0040051B" w:rsidP="0040051B"/>
        </w:tc>
        <w:tc>
          <w:tcPr>
            <w:tcW w:w="1134" w:type="dxa"/>
            <w:vAlign w:val="center"/>
          </w:tcPr>
          <w:p w:rsidR="0040051B" w:rsidRDefault="0040051B" w:rsidP="0040051B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0051B" w:rsidRDefault="0040051B" w:rsidP="0040051B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40051B" w:rsidRPr="00625D16" w:rsidRDefault="0040051B" w:rsidP="0040051B">
            <w:pPr>
              <w:jc w:val="center"/>
            </w:pPr>
          </w:p>
        </w:tc>
      </w:tr>
      <w:tr w:rsidR="0040051B" w:rsidTr="00DF5C91">
        <w:trPr>
          <w:trHeight w:hRule="exact" w:val="790"/>
        </w:trPr>
        <w:tc>
          <w:tcPr>
            <w:tcW w:w="850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2530" w:type="dxa"/>
            <w:vAlign w:val="center"/>
          </w:tcPr>
          <w:p w:rsidR="0040051B" w:rsidRPr="00AA50BF" w:rsidRDefault="0040051B" w:rsidP="00AF3A0E">
            <w:pPr>
              <w:rPr>
                <w:sz w:val="24"/>
                <w:szCs w:val="24"/>
                <w:lang w:eastAsia="tr-TR"/>
              </w:rPr>
            </w:pPr>
            <w:r>
              <w:t xml:space="preserve">4-Akademik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süresinin</w:t>
            </w:r>
            <w:proofErr w:type="spellEnd"/>
            <w:r>
              <w:t xml:space="preserve"> </w:t>
            </w:r>
            <w:proofErr w:type="spellStart"/>
            <w:r>
              <w:t>uzatılmaması</w:t>
            </w:r>
            <w:proofErr w:type="spellEnd"/>
            <w:r>
              <w:t>.</w:t>
            </w:r>
          </w:p>
          <w:p w:rsidR="0040051B" w:rsidRDefault="0040051B" w:rsidP="0040051B"/>
        </w:tc>
        <w:tc>
          <w:tcPr>
            <w:tcW w:w="991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857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3809" w:type="dxa"/>
            <w:vAlign w:val="center"/>
          </w:tcPr>
          <w:p w:rsidR="0040051B" w:rsidRDefault="0040051B" w:rsidP="0040051B"/>
        </w:tc>
        <w:tc>
          <w:tcPr>
            <w:tcW w:w="1134" w:type="dxa"/>
            <w:vAlign w:val="center"/>
          </w:tcPr>
          <w:p w:rsidR="0040051B" w:rsidRDefault="0040051B" w:rsidP="0040051B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0051B" w:rsidRDefault="0040051B" w:rsidP="0040051B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40051B" w:rsidRPr="00625D16" w:rsidRDefault="0040051B" w:rsidP="0040051B">
            <w:pPr>
              <w:jc w:val="center"/>
            </w:pPr>
          </w:p>
        </w:tc>
      </w:tr>
      <w:tr w:rsidR="0040051B" w:rsidTr="00DF5C91">
        <w:trPr>
          <w:trHeight w:hRule="exact" w:val="790"/>
        </w:trPr>
        <w:tc>
          <w:tcPr>
            <w:tcW w:w="850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2530" w:type="dxa"/>
            <w:vAlign w:val="center"/>
          </w:tcPr>
          <w:p w:rsidR="0040051B" w:rsidRDefault="0040051B" w:rsidP="0040051B">
            <w:r>
              <w:t xml:space="preserve">5-Jüri </w:t>
            </w:r>
            <w:proofErr w:type="spellStart"/>
            <w:r>
              <w:t>yazışmalarında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991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857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3809" w:type="dxa"/>
            <w:vAlign w:val="center"/>
          </w:tcPr>
          <w:p w:rsidR="0040051B" w:rsidRDefault="0040051B" w:rsidP="0040051B"/>
        </w:tc>
        <w:tc>
          <w:tcPr>
            <w:tcW w:w="1134" w:type="dxa"/>
            <w:vAlign w:val="center"/>
          </w:tcPr>
          <w:p w:rsidR="0040051B" w:rsidRDefault="0040051B" w:rsidP="0040051B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0051B" w:rsidRDefault="0040051B" w:rsidP="0040051B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40051B" w:rsidRPr="00625D16" w:rsidRDefault="0040051B" w:rsidP="0040051B">
            <w:pPr>
              <w:jc w:val="center"/>
            </w:pPr>
          </w:p>
        </w:tc>
      </w:tr>
    </w:tbl>
    <w:tbl>
      <w:tblPr>
        <w:tblStyle w:val="TableNormal1"/>
        <w:tblW w:w="0" w:type="auto"/>
        <w:tblInd w:w="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0"/>
        <w:gridCol w:w="991"/>
        <w:gridCol w:w="857"/>
        <w:gridCol w:w="3809"/>
        <w:gridCol w:w="1134"/>
        <w:gridCol w:w="992"/>
        <w:gridCol w:w="1843"/>
      </w:tblGrid>
      <w:tr w:rsidR="004D5A97" w:rsidRPr="00D54A70" w:rsidTr="00BC5597">
        <w:trPr>
          <w:trHeight w:hRule="exact" w:val="790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6-</w:t>
            </w:r>
            <w:r w:rsidRPr="005F3F51">
              <w:t xml:space="preserve">Kadro </w:t>
            </w:r>
            <w:proofErr w:type="spellStart"/>
            <w:r w:rsidRPr="005F3F51">
              <w:t>Aktarma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>
              <w:t>Mevzuat</w:t>
            </w:r>
            <w:proofErr w:type="spellEnd"/>
            <w:r>
              <w:t xml:space="preserve"> </w:t>
            </w:r>
            <w:proofErr w:type="spellStart"/>
            <w:r>
              <w:t>Değişiklikleri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AF3A0E">
        <w:trPr>
          <w:trHeight w:hRule="exact" w:val="1071"/>
        </w:trPr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bottom w:val="single" w:sz="4" w:space="0" w:color="000000"/>
            </w:tcBorders>
            <w:vAlign w:val="center"/>
          </w:tcPr>
          <w:p w:rsidR="004D5A97" w:rsidRPr="005F3F51" w:rsidRDefault="004D5A97" w:rsidP="007E6033">
            <w:r>
              <w:t>7-</w:t>
            </w:r>
            <w:r w:rsidRPr="005F3F51">
              <w:t xml:space="preserve">Kadro </w:t>
            </w:r>
            <w:proofErr w:type="spellStart"/>
            <w:r w:rsidRPr="005F3F51">
              <w:t>Kullanma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  <w:tcBorders>
              <w:bottom w:val="single" w:sz="4" w:space="0" w:color="000000"/>
            </w:tcBorders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AF3A0E">
        <w:trPr>
          <w:trHeight w:hRule="exact" w:val="983"/>
        </w:trPr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lastRenderedPageBreak/>
              <w:t>5</w:t>
            </w:r>
          </w:p>
        </w:tc>
        <w:tc>
          <w:tcPr>
            <w:tcW w:w="744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</w:tcBorders>
            <w:vAlign w:val="center"/>
          </w:tcPr>
          <w:p w:rsidR="004D5A97" w:rsidRPr="005F3F51" w:rsidRDefault="004D5A97" w:rsidP="007E6033">
            <w:r>
              <w:t>8-</w:t>
            </w:r>
            <w:r w:rsidRPr="005F3F51">
              <w:t xml:space="preserve">Akademik </w:t>
            </w:r>
            <w:proofErr w:type="spellStart"/>
            <w:r w:rsidRPr="005F3F51">
              <w:t>İlan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Hazırlama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  <w:tcBorders>
              <w:top w:val="single" w:sz="4" w:space="0" w:color="000000"/>
            </w:tcBorders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790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9-</w:t>
            </w:r>
            <w:r w:rsidRPr="005F3F51">
              <w:t xml:space="preserve">Özlük, YÖKSİS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HİTAP </w:t>
            </w:r>
            <w:proofErr w:type="spellStart"/>
            <w:r w:rsidRPr="005F3F51">
              <w:t>sistemlerine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kişi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bilgilerinin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girilmesi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790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10-</w:t>
            </w:r>
            <w:r w:rsidRPr="005F3F51">
              <w:t xml:space="preserve">DPB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BUMKO </w:t>
            </w:r>
            <w:proofErr w:type="spellStart"/>
            <w:r w:rsidRPr="005F3F51">
              <w:t>sistemlerine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düzenli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aralıklarla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girilmesi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792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11-</w:t>
            </w:r>
            <w:r w:rsidRPr="005F3F51">
              <w:t xml:space="preserve">Akademik  </w:t>
            </w:r>
            <w:proofErr w:type="spellStart"/>
            <w:r w:rsidRPr="005F3F51">
              <w:t>kadroların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iptal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ihdas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işlemleri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790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12-</w:t>
            </w:r>
            <w:r w:rsidRPr="005F3F51">
              <w:t xml:space="preserve">Norm </w:t>
            </w:r>
            <w:proofErr w:type="spellStart"/>
            <w:r w:rsidRPr="005F3F51">
              <w:t>Kadro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Planı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Hazırlama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Güncelleme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790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13-</w:t>
            </w:r>
            <w:r w:rsidRPr="005F3F51">
              <w:t xml:space="preserve">Akademik </w:t>
            </w:r>
            <w:proofErr w:type="spellStart"/>
            <w:r w:rsidRPr="005F3F51">
              <w:t>derece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değişikliği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dolu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aktarımları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1065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14-</w:t>
            </w:r>
            <w:r w:rsidRPr="005F3F51">
              <w:t xml:space="preserve">Yabancı </w:t>
            </w:r>
            <w:proofErr w:type="spellStart"/>
            <w:r w:rsidRPr="005F3F51">
              <w:t>Uyruklu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sözleşmeli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öğretim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elemanı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işlemleri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1136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15-</w:t>
            </w:r>
            <w:r w:rsidRPr="005F3F51">
              <w:t xml:space="preserve">1416 </w:t>
            </w:r>
            <w:proofErr w:type="spellStart"/>
            <w:r w:rsidRPr="005F3F51">
              <w:t>Öğretim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elemanı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aktarma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kullanma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işlemleri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green"/>
              </w:rPr>
            </w:pPr>
          </w:p>
        </w:tc>
      </w:tr>
    </w:tbl>
    <w:tbl>
      <w:tblPr>
        <w:tblStyle w:val="TableNormal"/>
        <w:tblW w:w="0" w:type="auto"/>
        <w:tblInd w:w="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0"/>
        <w:gridCol w:w="991"/>
        <w:gridCol w:w="857"/>
        <w:gridCol w:w="3809"/>
        <w:gridCol w:w="1134"/>
        <w:gridCol w:w="992"/>
        <w:gridCol w:w="1843"/>
      </w:tblGrid>
      <w:tr w:rsidR="00DF5C91" w:rsidTr="00DF5C91">
        <w:trPr>
          <w:trHeight w:hRule="exact" w:val="790"/>
        </w:trPr>
        <w:tc>
          <w:tcPr>
            <w:tcW w:w="850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DF5C91" w:rsidRPr="0074178C" w:rsidRDefault="00DF5C91" w:rsidP="003079EC">
            <w:r w:rsidRPr="0074178C">
              <w:t>1</w:t>
            </w:r>
            <w:r w:rsidR="007502E0">
              <w:t>6</w:t>
            </w:r>
            <w:r w:rsidRPr="0074178C">
              <w:t xml:space="preserve">- </w:t>
            </w:r>
            <w:proofErr w:type="spellStart"/>
            <w:r>
              <w:rPr>
                <w:sz w:val="24"/>
                <w:szCs w:val="24"/>
              </w:rPr>
              <w:t>Pasaport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İşlemleri</w:t>
            </w:r>
            <w:proofErr w:type="spellEnd"/>
            <w:r w:rsidRPr="0074178C">
              <w:t>.</w:t>
            </w:r>
          </w:p>
        </w:tc>
        <w:tc>
          <w:tcPr>
            <w:tcW w:w="991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</w:tcPr>
          <w:p w:rsidR="00DF5C91" w:rsidRDefault="00DF5C91" w:rsidP="003079EC"/>
        </w:tc>
        <w:tc>
          <w:tcPr>
            <w:tcW w:w="1134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992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1071"/>
        </w:trPr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tcBorders>
              <w:bottom w:val="single" w:sz="4" w:space="0" w:color="000000"/>
            </w:tcBorders>
            <w:vAlign w:val="center"/>
          </w:tcPr>
          <w:p w:rsidR="00DF5C91" w:rsidRPr="0074178C" w:rsidRDefault="007502E0" w:rsidP="007502E0">
            <w:r>
              <w:t>17</w:t>
            </w:r>
            <w:r w:rsidR="00DF5C91" w:rsidRPr="0074178C">
              <w:t>-</w:t>
            </w:r>
            <w:r w:rsidR="00DF5C91">
              <w:rPr>
                <w:sz w:val="24"/>
                <w:szCs w:val="24"/>
              </w:rPr>
              <w:t xml:space="preserve">Akademik </w:t>
            </w:r>
            <w:proofErr w:type="spellStart"/>
            <w:r w:rsidR="00DF5C91">
              <w:rPr>
                <w:sz w:val="24"/>
                <w:szCs w:val="24"/>
              </w:rPr>
              <w:t>Personel</w:t>
            </w:r>
            <w:proofErr w:type="spellEnd"/>
            <w:r w:rsidR="00DF5C91">
              <w:rPr>
                <w:sz w:val="24"/>
                <w:szCs w:val="24"/>
              </w:rPr>
              <w:t xml:space="preserve"> 39. </w:t>
            </w:r>
            <w:proofErr w:type="spellStart"/>
            <w:r w:rsidR="00DF5C91">
              <w:rPr>
                <w:sz w:val="24"/>
                <w:szCs w:val="24"/>
              </w:rPr>
              <w:t>Madde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Görevlendirme</w:t>
            </w:r>
            <w:proofErr w:type="spellEnd"/>
            <w:r w:rsidR="00DF5C91" w:rsidRPr="0074178C">
              <w:t>.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  <w:tcBorders>
              <w:bottom w:val="single" w:sz="4" w:space="0" w:color="000000"/>
            </w:tcBorders>
          </w:tcPr>
          <w:p w:rsidR="00DF5C91" w:rsidRDefault="00DF5C91" w:rsidP="003079EC"/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983"/>
        </w:trPr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lastRenderedPageBreak/>
              <w:t>3</w:t>
            </w:r>
          </w:p>
        </w:tc>
        <w:tc>
          <w:tcPr>
            <w:tcW w:w="744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</w:tcBorders>
            <w:vAlign w:val="center"/>
          </w:tcPr>
          <w:p w:rsidR="00DF5C91" w:rsidRPr="0074178C" w:rsidRDefault="007502E0" w:rsidP="003079EC">
            <w:r>
              <w:t>18-</w:t>
            </w:r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Yök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Yazışmaları</w:t>
            </w:r>
            <w:proofErr w:type="spellEnd"/>
            <w:r w:rsidR="00DF5C91" w:rsidRPr="0074178C">
              <w:t>.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  <w:tcBorders>
              <w:top w:val="single" w:sz="4" w:space="0" w:color="000000"/>
            </w:tcBorders>
          </w:tcPr>
          <w:p w:rsidR="00DF5C91" w:rsidRDefault="00DF5C91" w:rsidP="003079EC"/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790"/>
        </w:trPr>
        <w:tc>
          <w:tcPr>
            <w:tcW w:w="850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DF5C91" w:rsidRPr="0074178C" w:rsidRDefault="007502E0" w:rsidP="003079EC">
            <w:r>
              <w:t>19-</w:t>
            </w:r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Bölüm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Başkanlıkları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yazışmaları</w:t>
            </w:r>
            <w:proofErr w:type="spellEnd"/>
          </w:p>
        </w:tc>
        <w:tc>
          <w:tcPr>
            <w:tcW w:w="991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</w:tcPr>
          <w:p w:rsidR="00DF5C91" w:rsidRDefault="00DF5C91" w:rsidP="003079EC"/>
        </w:tc>
        <w:tc>
          <w:tcPr>
            <w:tcW w:w="1134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790"/>
        </w:trPr>
        <w:tc>
          <w:tcPr>
            <w:tcW w:w="850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DF5C91" w:rsidRPr="0074178C" w:rsidRDefault="007502E0" w:rsidP="003079EC">
            <w:r>
              <w:t>20</w:t>
            </w:r>
            <w:r w:rsidR="00DF5C91" w:rsidRPr="0074178C">
              <w:t xml:space="preserve">- </w:t>
            </w:r>
            <w:proofErr w:type="spellStart"/>
            <w:r w:rsidR="00DF5C91">
              <w:rPr>
                <w:sz w:val="24"/>
                <w:szCs w:val="24"/>
              </w:rPr>
              <w:t>Valilik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ve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dışardan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gelen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yazışmalar</w:t>
            </w:r>
            <w:proofErr w:type="spellEnd"/>
            <w:r w:rsidR="00DF5C91" w:rsidRPr="0074178C">
              <w:t>.</w:t>
            </w:r>
          </w:p>
        </w:tc>
        <w:tc>
          <w:tcPr>
            <w:tcW w:w="991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</w:tcPr>
          <w:p w:rsidR="00DF5C91" w:rsidRDefault="00DF5C91" w:rsidP="003079EC"/>
        </w:tc>
        <w:tc>
          <w:tcPr>
            <w:tcW w:w="1134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792"/>
        </w:trPr>
        <w:tc>
          <w:tcPr>
            <w:tcW w:w="850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DF5C91" w:rsidRPr="0074178C" w:rsidRDefault="007502E0" w:rsidP="003079EC">
            <w:r>
              <w:t>21</w:t>
            </w:r>
            <w:r w:rsidR="00DF5C91">
              <w:t>-</w:t>
            </w:r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Ders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Görevlendirilmesi</w:t>
            </w:r>
            <w:proofErr w:type="spellEnd"/>
            <w:r w:rsidR="00DF5C91">
              <w:rPr>
                <w:sz w:val="24"/>
                <w:szCs w:val="24"/>
              </w:rPr>
              <w:t xml:space="preserve"> (40/a 40/d  13/b-4</w:t>
            </w:r>
          </w:p>
        </w:tc>
        <w:tc>
          <w:tcPr>
            <w:tcW w:w="991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</w:tcPr>
          <w:p w:rsidR="00DF5C91" w:rsidRDefault="00DF5C91" w:rsidP="003079EC"/>
        </w:tc>
        <w:tc>
          <w:tcPr>
            <w:tcW w:w="1134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790"/>
        </w:trPr>
        <w:tc>
          <w:tcPr>
            <w:tcW w:w="850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DF5C91" w:rsidRPr="006E07D7" w:rsidRDefault="007502E0" w:rsidP="003079EC">
            <w:r>
              <w:t>22</w:t>
            </w:r>
            <w:r w:rsidR="00DF5C91">
              <w:t>-</w:t>
            </w:r>
            <w:r w:rsidR="00DF5C91">
              <w:rPr>
                <w:sz w:val="24"/>
                <w:szCs w:val="24"/>
              </w:rPr>
              <w:t xml:space="preserve">Vekalet  </w:t>
            </w:r>
            <w:proofErr w:type="spellStart"/>
            <w:r w:rsidR="00DF5C91">
              <w:rPr>
                <w:sz w:val="24"/>
                <w:szCs w:val="24"/>
              </w:rPr>
              <w:t>Yazışmaları</w:t>
            </w:r>
            <w:proofErr w:type="spellEnd"/>
          </w:p>
        </w:tc>
        <w:tc>
          <w:tcPr>
            <w:tcW w:w="991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</w:tcPr>
          <w:p w:rsidR="00DF5C91" w:rsidRDefault="00DF5C91" w:rsidP="003079EC"/>
        </w:tc>
        <w:tc>
          <w:tcPr>
            <w:tcW w:w="1134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</w:tbl>
    <w:p w:rsidR="00DF5C91" w:rsidRDefault="00DF5C91" w:rsidP="00DF5C91"/>
    <w:p w:rsidR="00194DCB" w:rsidRDefault="00194DCB"/>
    <w:sectPr w:rsidR="00194DCB" w:rsidSect="00DF5C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6E"/>
    <w:rsid w:val="00036756"/>
    <w:rsid w:val="00194DCB"/>
    <w:rsid w:val="00246491"/>
    <w:rsid w:val="003D6643"/>
    <w:rsid w:val="0040051B"/>
    <w:rsid w:val="004645A8"/>
    <w:rsid w:val="004D5A97"/>
    <w:rsid w:val="00552FDC"/>
    <w:rsid w:val="00625D16"/>
    <w:rsid w:val="006641E1"/>
    <w:rsid w:val="007502E0"/>
    <w:rsid w:val="00AF3A0E"/>
    <w:rsid w:val="00BC5597"/>
    <w:rsid w:val="00CE2245"/>
    <w:rsid w:val="00DF5C91"/>
    <w:rsid w:val="00E65B6E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  <w:style w:type="table" w:customStyle="1" w:styleId="TableNormal1">
    <w:name w:val="Table Normal1"/>
    <w:uiPriority w:val="2"/>
    <w:semiHidden/>
    <w:unhideWhenUsed/>
    <w:qFormat/>
    <w:rsid w:val="00BC55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  <w:style w:type="table" w:customStyle="1" w:styleId="TableNormal1">
    <w:name w:val="Table Normal1"/>
    <w:uiPriority w:val="2"/>
    <w:semiHidden/>
    <w:unhideWhenUsed/>
    <w:qFormat/>
    <w:rsid w:val="00BC55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aidata1</dc:creator>
  <cp:lastModifiedBy>Aysun KORKMAZ</cp:lastModifiedBy>
  <cp:revision>8</cp:revision>
  <dcterms:created xsi:type="dcterms:W3CDTF">2019-10-18T13:34:00Z</dcterms:created>
  <dcterms:modified xsi:type="dcterms:W3CDTF">2019-11-04T11:00:00Z</dcterms:modified>
</cp:coreProperties>
</file>