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373C88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İdari Personelin Unvan ve Derece Değişikliği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0E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birimlerinde görev yapan personelin unvan ve derece değişikliğine yönelik birimler tarafından teklif yapılması.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unvan ve derece değişikliğine</w:t>
            </w:r>
            <w:r w:rsidR="005E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işlemleri sürecinin zamanında ve sağlıklı 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atama işlemleri sürecini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n zamanında tamamlanamaması neticesinde, söz konusu personelin hak kaybına uğraması ve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657 sayılı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Yükseköğretim Üst Kuruluşları ile Yükseköğretim Kurumları Görevde Yükselme ve Unvan Değişikliği Yönetmeliği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hükümlerine aykırı ve yanlış yapılması.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422331" w:rsidP="0086087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Atama sürecinin takibi hususunda g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erekli hassasiyetin gösterilerek atama işlemlerinin zamanında </w:t>
            </w:r>
            <w:r w:rsidR="00C0446D">
              <w:rPr>
                <w:rFonts w:ascii="Times New Roman" w:hAnsi="Times New Roman" w:cs="Times New Roman"/>
                <w:sz w:val="24"/>
                <w:szCs w:val="24"/>
              </w:rPr>
              <w:t xml:space="preserve">yapılması ve 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>657 sayılı K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anun </w:t>
            </w:r>
            <w:r w:rsidR="00C0446D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bookmarkStart w:id="1" w:name="_GoBack"/>
            <w:bookmarkEnd w:id="1"/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3A"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Görevde Yükselme ve Unvan Değişikliği Yönetmeliği</w:t>
            </w:r>
            <w:r w:rsidR="000E583A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2322F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A8672E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Görevde Yükselme ve Unvan Değişikliği Yönetmeliği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25" w:rsidRDefault="00E34525" w:rsidP="00956C56">
      <w:pPr>
        <w:spacing w:after="0" w:line="240" w:lineRule="auto"/>
      </w:pPr>
      <w:r>
        <w:separator/>
      </w:r>
    </w:p>
  </w:endnote>
  <w:endnote w:type="continuationSeparator" w:id="0">
    <w:p w:rsidR="00E34525" w:rsidRDefault="00E3452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25" w:rsidRDefault="00E34525" w:rsidP="00956C56">
      <w:pPr>
        <w:spacing w:after="0" w:line="240" w:lineRule="auto"/>
      </w:pPr>
      <w:r>
        <w:separator/>
      </w:r>
    </w:p>
  </w:footnote>
  <w:footnote w:type="continuationSeparator" w:id="0">
    <w:p w:rsidR="00E34525" w:rsidRDefault="00E3452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27D4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5C2F"/>
    <w:rsid w:val="00CF7FE8"/>
    <w:rsid w:val="00D04838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7</cp:revision>
  <dcterms:created xsi:type="dcterms:W3CDTF">2017-12-14T06:40:00Z</dcterms:created>
  <dcterms:modified xsi:type="dcterms:W3CDTF">2017-12-14T06:50:00Z</dcterms:modified>
</cp:coreProperties>
</file>