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9E7110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10">
              <w:rPr>
                <w:rFonts w:ascii="Times New Roman" w:hAnsi="Times New Roman" w:cs="Times New Roman"/>
                <w:sz w:val="24"/>
                <w:szCs w:val="24"/>
              </w:rPr>
              <w:t>İdari Kadroların Tenkis-Tahsis İşlemleri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57280E" w:rsidP="000E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0E">
              <w:rPr>
                <w:rFonts w:ascii="Times New Roman" w:hAnsi="Times New Roman" w:cs="Times New Roman"/>
                <w:sz w:val="24"/>
                <w:szCs w:val="24"/>
              </w:rPr>
              <w:t>Üniversitemizde çalışan İdari Personellerden kadrosunun bulunduğu birimle görev yaptığı birim farklı olan personelin kadrosunun 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alıştığı birime aktarılmasına yönelik birimlerden teklif yapılması.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57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Personelin </w:t>
            </w:r>
            <w:r w:rsidR="0057280E">
              <w:rPr>
                <w:rFonts w:ascii="Times New Roman" w:hAnsi="Times New Roman" w:cs="Times New Roman"/>
                <w:sz w:val="24"/>
                <w:szCs w:val="24"/>
              </w:rPr>
              <w:t>kadrosunun görev yaptığı birime aktarılarak gerek özlük işlemlerinin, gerekse de diğer mali işlemlerin tek bir birim tarafından yürütülmesinin sağlanması ve personel planlaması hususunda daha düzenli bir çalışma yapılm</w:t>
            </w:r>
            <w:r w:rsidR="000C3784">
              <w:rPr>
                <w:rFonts w:ascii="Times New Roman" w:hAnsi="Times New Roman" w:cs="Times New Roman"/>
                <w:sz w:val="24"/>
                <w:szCs w:val="24"/>
              </w:rPr>
              <w:t>asına zemin hazırlanması.</w:t>
            </w:r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722DEB" w:rsidP="0072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aktarım sürecinin</w:t>
            </w:r>
            <w:bookmarkStart w:id="1" w:name="_GoBack"/>
            <w:bookmarkEnd w:id="1"/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>atama işlemleri sürecini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 xml:space="preserve">n zamanında tamamlanamaması neticesinde, söz konusu personelin hak kaybına uğraması ve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atama işlemlerinin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657 sayılı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r w:rsidR="000E583A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EB">
              <w:rPr>
                <w:rFonts w:ascii="Times New Roman" w:hAnsi="Times New Roman" w:cs="Times New Roman"/>
                <w:sz w:val="24"/>
                <w:szCs w:val="24"/>
              </w:rPr>
              <w:t>190 sayılı Genel Kadro ve Usulü Hakkında Kanun Hükmünde Kararname</w:t>
            </w:r>
            <w:r w:rsidR="000E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>hükümlerine aykırı ve yanlış yapılması.</w:t>
            </w:r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422331" w:rsidP="00860876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Atama sürecinin takibi hususunda g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 xml:space="preserve">erekli hassasiyetin gösterilerek atama işlemlerinin zamanında </w:t>
            </w:r>
            <w:r w:rsidR="00C0446D">
              <w:rPr>
                <w:rFonts w:ascii="Times New Roman" w:hAnsi="Times New Roman" w:cs="Times New Roman"/>
                <w:sz w:val="24"/>
                <w:szCs w:val="24"/>
              </w:rPr>
              <w:t xml:space="preserve">yapılması ve 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>657 sayılı K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anun </w:t>
            </w:r>
            <w:r w:rsidR="00C0446D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83A">
              <w:rPr>
                <w:rFonts w:ascii="Times New Roman" w:hAnsi="Times New Roman" w:cs="Times New Roman"/>
                <w:sz w:val="24"/>
                <w:szCs w:val="24"/>
              </w:rPr>
              <w:t>Yükseköğretim Üst Kuruluşları ile Yükseköğretim Kurumları Görevde Yükselme ve Unvan Değişikliği Yönetmeliği</w:t>
            </w:r>
            <w:r w:rsidR="000E583A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403" w:rsidRPr="006A79DC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rçevesinde yerine getirilmesi.</w:t>
            </w:r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A2322F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A8672E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Yükseköğretim Üst Kuruluşları ile Yükseköğretim Kurumları Görevde Yükselme ve Unvan Değişikliği Yönetmeliği</w:t>
            </w: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E5" w:rsidRDefault="00B84CE5" w:rsidP="00956C56">
      <w:pPr>
        <w:spacing w:after="0" w:line="240" w:lineRule="auto"/>
      </w:pPr>
      <w:r>
        <w:separator/>
      </w:r>
    </w:p>
  </w:endnote>
  <w:endnote w:type="continuationSeparator" w:id="0">
    <w:p w:rsidR="00B84CE5" w:rsidRDefault="00B84CE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E5" w:rsidRDefault="00B84CE5" w:rsidP="00956C56">
      <w:pPr>
        <w:spacing w:after="0" w:line="240" w:lineRule="auto"/>
      </w:pPr>
      <w:r>
        <w:separator/>
      </w:r>
    </w:p>
  </w:footnote>
  <w:footnote w:type="continuationSeparator" w:id="0">
    <w:p w:rsidR="00B84CE5" w:rsidRDefault="00B84CE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6655"/>
    <w:rsid w:val="00021A1E"/>
    <w:rsid w:val="00026AEA"/>
    <w:rsid w:val="00031855"/>
    <w:rsid w:val="0006132E"/>
    <w:rsid w:val="00082135"/>
    <w:rsid w:val="00082DCC"/>
    <w:rsid w:val="00091F29"/>
    <w:rsid w:val="000A62DC"/>
    <w:rsid w:val="000C3784"/>
    <w:rsid w:val="000E09DE"/>
    <w:rsid w:val="000E583A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733EC"/>
    <w:rsid w:val="00373C88"/>
    <w:rsid w:val="00375703"/>
    <w:rsid w:val="003A4731"/>
    <w:rsid w:val="003B0495"/>
    <w:rsid w:val="003B5A8F"/>
    <w:rsid w:val="003B5E17"/>
    <w:rsid w:val="003D0ACC"/>
    <w:rsid w:val="003D0FEB"/>
    <w:rsid w:val="003E614F"/>
    <w:rsid w:val="004201B9"/>
    <w:rsid w:val="00421025"/>
    <w:rsid w:val="00422331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27D4"/>
    <w:rsid w:val="004C1E55"/>
    <w:rsid w:val="004C1ED3"/>
    <w:rsid w:val="004F3248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280E"/>
    <w:rsid w:val="00577E77"/>
    <w:rsid w:val="00585CFD"/>
    <w:rsid w:val="00592727"/>
    <w:rsid w:val="005A28F3"/>
    <w:rsid w:val="005B0C34"/>
    <w:rsid w:val="005D5908"/>
    <w:rsid w:val="005D66EF"/>
    <w:rsid w:val="005E0224"/>
    <w:rsid w:val="005E2013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22DEB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5B8F"/>
    <w:rsid w:val="0081604E"/>
    <w:rsid w:val="00825A4D"/>
    <w:rsid w:val="00833BA3"/>
    <w:rsid w:val="00850747"/>
    <w:rsid w:val="00856537"/>
    <w:rsid w:val="00860876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6483"/>
    <w:rsid w:val="009E7110"/>
    <w:rsid w:val="009F0985"/>
    <w:rsid w:val="009F4985"/>
    <w:rsid w:val="009F6B86"/>
    <w:rsid w:val="00A01138"/>
    <w:rsid w:val="00A04A1C"/>
    <w:rsid w:val="00A074D8"/>
    <w:rsid w:val="00A12620"/>
    <w:rsid w:val="00A14F44"/>
    <w:rsid w:val="00A2322F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672E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84CE5"/>
    <w:rsid w:val="00B9692D"/>
    <w:rsid w:val="00BA549A"/>
    <w:rsid w:val="00BA5C0C"/>
    <w:rsid w:val="00BA714B"/>
    <w:rsid w:val="00BA7CB3"/>
    <w:rsid w:val="00BC3F17"/>
    <w:rsid w:val="00BD3333"/>
    <w:rsid w:val="00BE0BB7"/>
    <w:rsid w:val="00BF1188"/>
    <w:rsid w:val="00BF1F3E"/>
    <w:rsid w:val="00C0446D"/>
    <w:rsid w:val="00C0483D"/>
    <w:rsid w:val="00C06C0E"/>
    <w:rsid w:val="00C06CD5"/>
    <w:rsid w:val="00C10A15"/>
    <w:rsid w:val="00C13C85"/>
    <w:rsid w:val="00C315A1"/>
    <w:rsid w:val="00C42F5D"/>
    <w:rsid w:val="00C47B9F"/>
    <w:rsid w:val="00C47D18"/>
    <w:rsid w:val="00C5256E"/>
    <w:rsid w:val="00C530CC"/>
    <w:rsid w:val="00C57257"/>
    <w:rsid w:val="00C77F89"/>
    <w:rsid w:val="00C924D5"/>
    <w:rsid w:val="00C94448"/>
    <w:rsid w:val="00CA0BA2"/>
    <w:rsid w:val="00CB5FFA"/>
    <w:rsid w:val="00CB691F"/>
    <w:rsid w:val="00CC1B0B"/>
    <w:rsid w:val="00CF5C2F"/>
    <w:rsid w:val="00CF7FE8"/>
    <w:rsid w:val="00D04838"/>
    <w:rsid w:val="00D26102"/>
    <w:rsid w:val="00D30080"/>
    <w:rsid w:val="00D36403"/>
    <w:rsid w:val="00D42E5B"/>
    <w:rsid w:val="00D563C2"/>
    <w:rsid w:val="00D6446D"/>
    <w:rsid w:val="00D65B94"/>
    <w:rsid w:val="00D7617F"/>
    <w:rsid w:val="00D76AFD"/>
    <w:rsid w:val="00D91ACE"/>
    <w:rsid w:val="00DA075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4525"/>
    <w:rsid w:val="00E34A3D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0603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4</cp:revision>
  <dcterms:created xsi:type="dcterms:W3CDTF">2017-12-14T07:32:00Z</dcterms:created>
  <dcterms:modified xsi:type="dcterms:W3CDTF">2017-12-14T07:51:00Z</dcterms:modified>
</cp:coreProperties>
</file>