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3969"/>
        <w:gridCol w:w="3260"/>
      </w:tblGrid>
      <w:tr w:rsidR="009F68BA" w:rsidTr="009F68BA">
        <w:trPr>
          <w:trHeight w:hRule="exact" w:val="593"/>
        </w:trPr>
        <w:tc>
          <w:tcPr>
            <w:tcW w:w="12616" w:type="dxa"/>
            <w:gridSpan w:val="4"/>
          </w:tcPr>
          <w:p w:rsidR="009F68BA" w:rsidRDefault="009F68BA" w:rsidP="00530E4B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r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9F68BA" w:rsidTr="00CD697C">
        <w:trPr>
          <w:trHeight w:hRule="exact" w:val="876"/>
        </w:trPr>
        <w:tc>
          <w:tcPr>
            <w:tcW w:w="4253" w:type="dxa"/>
          </w:tcPr>
          <w:p w:rsidR="009F68BA" w:rsidRDefault="009F68BA" w:rsidP="00530E4B">
            <w:pPr>
              <w:pStyle w:val="TableParagraph"/>
              <w:spacing w:before="155" w:line="274" w:lineRule="exact"/>
              <w:ind w:left="1338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F68BA" w:rsidRDefault="009F68BA" w:rsidP="00530E4B">
            <w:pPr>
              <w:pStyle w:val="TableParagraph"/>
              <w:spacing w:line="274" w:lineRule="exact"/>
              <w:ind w:left="1338" w:right="13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F68BA" w:rsidRDefault="009F68BA" w:rsidP="00530E4B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3969" w:type="dxa"/>
          </w:tcPr>
          <w:p w:rsidR="009F68BA" w:rsidRDefault="009F68BA" w:rsidP="00530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F68BA" w:rsidRDefault="009F68BA" w:rsidP="00530E4B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260" w:type="dxa"/>
          </w:tcPr>
          <w:p w:rsidR="009F68BA" w:rsidRDefault="009F68BA" w:rsidP="00530E4B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Faaliyetleriyle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Yapılanlar</w:t>
            </w:r>
            <w:proofErr w:type="spellEnd"/>
          </w:p>
        </w:tc>
      </w:tr>
      <w:tr w:rsidR="009F68BA" w:rsidTr="00392414">
        <w:trPr>
          <w:trHeight w:hRule="exact" w:val="1103"/>
        </w:trPr>
        <w:tc>
          <w:tcPr>
            <w:tcW w:w="4253" w:type="dxa"/>
          </w:tcPr>
          <w:p w:rsidR="009F68BA" w:rsidRDefault="002F246B" w:rsidP="002F246B">
            <w:r>
              <w:t xml:space="preserve">1- </w:t>
            </w:r>
            <w:proofErr w:type="spellStart"/>
            <w:r>
              <w:t>Yaklaşık</w:t>
            </w:r>
            <w:proofErr w:type="spellEnd"/>
            <w:r>
              <w:t xml:space="preserve"> </w:t>
            </w:r>
            <w:proofErr w:type="spellStart"/>
            <w:r>
              <w:t>Maliyetin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F68BA" w:rsidRDefault="002F246B" w:rsidP="00530E4B">
            <w:proofErr w:type="spellStart"/>
            <w:r>
              <w:t>Yüksek</w:t>
            </w:r>
            <w:proofErr w:type="spellEnd"/>
          </w:p>
        </w:tc>
        <w:tc>
          <w:tcPr>
            <w:tcW w:w="3969" w:type="dxa"/>
          </w:tcPr>
          <w:p w:rsidR="009F68BA" w:rsidRDefault="00CB7B60" w:rsidP="002F246B">
            <w:pPr>
              <w:jc w:val="both"/>
            </w:pPr>
            <w:proofErr w:type="spellStart"/>
            <w:r>
              <w:rPr>
                <w:sz w:val="24"/>
                <w:szCs w:val="24"/>
                <w:lang w:eastAsia="tr-TR"/>
              </w:rPr>
              <w:t>Yaklaşık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maliyet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</w:t>
            </w:r>
            <w:r w:rsidRPr="008C1666">
              <w:rPr>
                <w:sz w:val="24"/>
                <w:szCs w:val="24"/>
                <w:lang w:eastAsia="tr-TR"/>
              </w:rPr>
              <w:t>lgili</w:t>
            </w:r>
            <w:proofErr w:type="spellEnd"/>
            <w:r w:rsidRPr="008C1666">
              <w:rPr>
                <w:sz w:val="24"/>
                <w:szCs w:val="24"/>
                <w:lang w:eastAsia="tr-TR"/>
              </w:rPr>
              <w:t xml:space="preserve"> satın alma </w:t>
            </w:r>
            <w:proofErr w:type="spellStart"/>
            <w:r w:rsidRPr="008C1666">
              <w:rPr>
                <w:sz w:val="24"/>
                <w:szCs w:val="24"/>
                <w:lang w:eastAsia="tr-TR"/>
              </w:rPr>
              <w:t>görevlisi</w:t>
            </w:r>
            <w:proofErr w:type="spellEnd"/>
            <w:r w:rsidRPr="008C166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1666">
              <w:rPr>
                <w:sz w:val="24"/>
                <w:szCs w:val="24"/>
                <w:lang w:eastAsia="tr-TR"/>
              </w:rPr>
              <w:t>tarafından</w:t>
            </w:r>
            <w:proofErr w:type="spellEnd"/>
            <w:r w:rsidRPr="008C166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1666">
              <w:rPr>
                <w:sz w:val="24"/>
                <w:szCs w:val="24"/>
                <w:lang w:eastAsia="tr-TR"/>
              </w:rPr>
              <w:t>yaklaşık</w:t>
            </w:r>
            <w:proofErr w:type="spellEnd"/>
            <w:r w:rsidRPr="008C166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1666">
              <w:rPr>
                <w:sz w:val="24"/>
                <w:szCs w:val="24"/>
                <w:lang w:eastAsia="tr-TR"/>
              </w:rPr>
              <w:t>maliyetin</w:t>
            </w:r>
            <w:proofErr w:type="spellEnd"/>
            <w:r w:rsidRPr="008C166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1666">
              <w:rPr>
                <w:sz w:val="24"/>
                <w:szCs w:val="24"/>
                <w:lang w:eastAsia="tr-TR"/>
              </w:rPr>
              <w:t>gözden</w:t>
            </w:r>
            <w:proofErr w:type="spellEnd"/>
            <w:r w:rsidRPr="008C166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1666">
              <w:rPr>
                <w:sz w:val="24"/>
                <w:szCs w:val="24"/>
                <w:lang w:eastAsia="tr-TR"/>
              </w:rPr>
              <w:t>geçirilmesi</w:t>
            </w:r>
            <w:proofErr w:type="spellEnd"/>
            <w:r w:rsidRPr="008C1666"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0" w:type="dxa"/>
          </w:tcPr>
          <w:p w:rsidR="009F68BA" w:rsidRDefault="000278EC" w:rsidP="000278EC">
            <w:pPr>
              <w:jc w:val="center"/>
            </w:pPr>
            <w:proofErr w:type="spellStart"/>
            <w:r>
              <w:rPr>
                <w:sz w:val="24"/>
                <w:szCs w:val="24"/>
                <w:lang w:eastAsia="tr-TR"/>
              </w:rPr>
              <w:t>Yaklaşık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maliyet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</w:t>
            </w:r>
            <w:r w:rsidR="002F246B" w:rsidRPr="008C1666">
              <w:rPr>
                <w:sz w:val="24"/>
                <w:szCs w:val="24"/>
                <w:lang w:eastAsia="tr-TR"/>
              </w:rPr>
              <w:t>lgili</w:t>
            </w:r>
            <w:proofErr w:type="spellEnd"/>
            <w:r w:rsidR="002F246B" w:rsidRPr="008C1666">
              <w:rPr>
                <w:sz w:val="24"/>
                <w:szCs w:val="24"/>
                <w:lang w:eastAsia="tr-TR"/>
              </w:rPr>
              <w:t xml:space="preserve"> satın alma </w:t>
            </w:r>
            <w:proofErr w:type="spellStart"/>
            <w:r w:rsidR="002F246B" w:rsidRPr="008C1666">
              <w:rPr>
                <w:sz w:val="24"/>
                <w:szCs w:val="24"/>
                <w:lang w:eastAsia="tr-TR"/>
              </w:rPr>
              <w:t>görevlisi</w:t>
            </w:r>
            <w:proofErr w:type="spellEnd"/>
            <w:r w:rsidR="002F246B" w:rsidRPr="008C166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246B" w:rsidRPr="008C1666">
              <w:rPr>
                <w:sz w:val="24"/>
                <w:szCs w:val="24"/>
                <w:lang w:eastAsia="tr-TR"/>
              </w:rPr>
              <w:t>tarafından</w:t>
            </w:r>
            <w:proofErr w:type="spellEnd"/>
            <w:r w:rsidR="002F246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246B">
              <w:rPr>
                <w:sz w:val="24"/>
                <w:szCs w:val="24"/>
                <w:lang w:eastAsia="tr-TR"/>
              </w:rPr>
              <w:t>yaklaşık</w:t>
            </w:r>
            <w:proofErr w:type="spellEnd"/>
            <w:r w:rsidR="002F246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246B">
              <w:rPr>
                <w:sz w:val="24"/>
                <w:szCs w:val="24"/>
                <w:lang w:eastAsia="tr-TR"/>
              </w:rPr>
              <w:t>Maliyet</w:t>
            </w:r>
            <w:proofErr w:type="spellEnd"/>
            <w:r w:rsidR="002F246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246B">
              <w:rPr>
                <w:sz w:val="24"/>
                <w:szCs w:val="24"/>
                <w:lang w:eastAsia="tr-TR"/>
              </w:rPr>
              <w:t>gözden</w:t>
            </w:r>
            <w:proofErr w:type="spellEnd"/>
            <w:r w:rsidR="002F246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246B" w:rsidRPr="00392414">
              <w:rPr>
                <w:sz w:val="24"/>
                <w:szCs w:val="24"/>
                <w:lang w:eastAsia="tr-TR"/>
              </w:rPr>
              <w:t>geçirilmiştir</w:t>
            </w:r>
            <w:proofErr w:type="spellEnd"/>
            <w:r w:rsidR="002F246B"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9F68BA" w:rsidTr="00CD697C">
        <w:trPr>
          <w:trHeight w:hRule="exact" w:val="790"/>
        </w:trPr>
        <w:tc>
          <w:tcPr>
            <w:tcW w:w="4253" w:type="dxa"/>
          </w:tcPr>
          <w:p w:rsidR="009F68BA" w:rsidRDefault="002F246B" w:rsidP="00530E4B">
            <w:r>
              <w:t>2-</w:t>
            </w:r>
            <w:r w:rsidRPr="0017054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sz w:val="24"/>
                <w:szCs w:val="24"/>
                <w:lang w:eastAsia="tr-TR"/>
              </w:rPr>
              <w:t xml:space="preserve"> Kabul </w:t>
            </w:r>
            <w:proofErr w:type="spellStart"/>
            <w:r w:rsidRPr="0017054E">
              <w:rPr>
                <w:sz w:val="24"/>
                <w:szCs w:val="24"/>
                <w:lang w:eastAsia="tr-TR"/>
              </w:rPr>
              <w:t>Komisyonunun</w:t>
            </w:r>
            <w:proofErr w:type="spellEnd"/>
            <w:r w:rsidRPr="0017054E">
              <w:rPr>
                <w:sz w:val="24"/>
                <w:szCs w:val="24"/>
                <w:lang w:eastAsia="tr-TR"/>
              </w:rPr>
              <w:t xml:space="preserve"> mal </w:t>
            </w:r>
            <w:proofErr w:type="spellStart"/>
            <w:r w:rsidRPr="0017054E">
              <w:rPr>
                <w:sz w:val="24"/>
                <w:szCs w:val="24"/>
                <w:lang w:eastAsia="tr-TR"/>
              </w:rPr>
              <w:t>veya</w:t>
            </w:r>
            <w:proofErr w:type="spellEnd"/>
            <w:r w:rsidRPr="0017054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sz w:val="24"/>
                <w:szCs w:val="24"/>
                <w:lang w:eastAsia="tr-TR"/>
              </w:rPr>
              <w:t>hizmeti</w:t>
            </w:r>
            <w:proofErr w:type="spellEnd"/>
            <w:r w:rsidRPr="0017054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sz w:val="24"/>
                <w:szCs w:val="24"/>
                <w:lang w:eastAsia="tr-TR"/>
              </w:rPr>
              <w:t>yeterince</w:t>
            </w:r>
            <w:proofErr w:type="spellEnd"/>
            <w:r w:rsidRPr="0017054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sz w:val="24"/>
                <w:szCs w:val="24"/>
                <w:lang w:eastAsia="tr-TR"/>
              </w:rPr>
              <w:t>incelememe</w:t>
            </w:r>
            <w:r>
              <w:rPr>
                <w:sz w:val="24"/>
                <w:szCs w:val="24"/>
                <w:lang w:eastAsia="tr-TR"/>
              </w:rPr>
              <w:t>si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34" w:type="dxa"/>
          </w:tcPr>
          <w:p w:rsidR="009F68BA" w:rsidRDefault="002F246B" w:rsidP="00530E4B">
            <w:proofErr w:type="spellStart"/>
            <w:r>
              <w:t>Yüksek</w:t>
            </w:r>
            <w:proofErr w:type="spellEnd"/>
          </w:p>
        </w:tc>
        <w:tc>
          <w:tcPr>
            <w:tcW w:w="3969" w:type="dxa"/>
          </w:tcPr>
          <w:p w:rsidR="009F68BA" w:rsidRDefault="00CB7B60" w:rsidP="00530E4B">
            <w:proofErr w:type="spellStart"/>
            <w:r>
              <w:t>Muayene</w:t>
            </w:r>
            <w:proofErr w:type="spellEnd"/>
            <w:r>
              <w:t xml:space="preserve"> Kabul </w:t>
            </w:r>
            <w:proofErr w:type="spellStart"/>
            <w:r>
              <w:t>Komisyonunda</w:t>
            </w:r>
            <w:proofErr w:type="spellEnd"/>
            <w:r>
              <w:t xml:space="preserve"> </w:t>
            </w:r>
            <w:proofErr w:type="spellStart"/>
            <w:r>
              <w:t>alımla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alması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9F68BA" w:rsidRDefault="002F246B" w:rsidP="000278EC">
            <w:proofErr w:type="spellStart"/>
            <w:r>
              <w:t>Muayene</w:t>
            </w:r>
            <w:proofErr w:type="spellEnd"/>
            <w:r>
              <w:t xml:space="preserve"> Kabul </w:t>
            </w:r>
            <w:proofErr w:type="spellStart"/>
            <w:r>
              <w:t>Komisyonunda</w:t>
            </w:r>
            <w:proofErr w:type="spellEnd"/>
            <w:r w:rsidR="000278EC">
              <w:t xml:space="preserve"> </w:t>
            </w:r>
            <w:proofErr w:type="spellStart"/>
            <w:r w:rsidR="000278EC">
              <w:t>alımla</w:t>
            </w:r>
            <w:proofErr w:type="spellEnd"/>
            <w:r w:rsidR="000278EC">
              <w:t xml:space="preserve"> </w:t>
            </w:r>
            <w:proofErr w:type="spellStart"/>
            <w:r w:rsidR="000278EC">
              <w:t>ilgili</w:t>
            </w:r>
            <w:proofErr w:type="spellEnd"/>
            <w:r w:rsidR="000278EC">
              <w:t xml:space="preserve"> </w:t>
            </w:r>
            <w:proofErr w:type="spellStart"/>
            <w:r w:rsidR="000278EC">
              <w:t>bilgisi</w:t>
            </w:r>
            <w:proofErr w:type="spellEnd"/>
            <w:r w:rsidR="000278EC">
              <w:t xml:space="preserve"> </w:t>
            </w:r>
            <w:proofErr w:type="spellStart"/>
            <w:proofErr w:type="gramStart"/>
            <w:r w:rsidR="000278EC">
              <w:t>olan</w:t>
            </w:r>
            <w:proofErr w:type="spellEnd"/>
            <w:r w:rsidR="000278EC">
              <w:t xml:space="preserve"> </w:t>
            </w:r>
            <w:r>
              <w:t xml:space="preserve"> </w:t>
            </w:r>
            <w:proofErr w:type="spellStart"/>
            <w:r>
              <w:t>personel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görevlendirilmiştir</w:t>
            </w:r>
            <w:proofErr w:type="spellEnd"/>
            <w:r>
              <w:t>.</w:t>
            </w:r>
          </w:p>
        </w:tc>
      </w:tr>
      <w:tr w:rsidR="00837AC0" w:rsidTr="00CD697C">
        <w:trPr>
          <w:trHeight w:hRule="exact" w:val="1893"/>
        </w:trPr>
        <w:tc>
          <w:tcPr>
            <w:tcW w:w="4253" w:type="dxa"/>
          </w:tcPr>
          <w:p w:rsidR="00837AC0" w:rsidRDefault="00837AC0" w:rsidP="00530E4B">
            <w:r>
              <w:t>3-</w:t>
            </w:r>
            <w:r w:rsidRPr="00D26E1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sz w:val="24"/>
                <w:szCs w:val="24"/>
                <w:lang w:eastAsia="tr-TR"/>
              </w:rPr>
              <w:t>Özel</w:t>
            </w:r>
            <w:proofErr w:type="spellEnd"/>
            <w:r w:rsidRPr="00D26E1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sz w:val="24"/>
                <w:szCs w:val="24"/>
                <w:lang w:eastAsia="tr-TR"/>
              </w:rPr>
              <w:t>tüketim</w:t>
            </w:r>
            <w:proofErr w:type="spellEnd"/>
            <w:r w:rsidRPr="00D26E1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sz w:val="24"/>
                <w:szCs w:val="24"/>
                <w:lang w:eastAsia="tr-TR"/>
              </w:rPr>
              <w:t>sayaç</w:t>
            </w:r>
            <w:proofErr w:type="spellEnd"/>
            <w:r w:rsidRPr="00D26E1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sz w:val="24"/>
                <w:szCs w:val="24"/>
                <w:lang w:eastAsia="tr-TR"/>
              </w:rPr>
              <w:t>okuma</w:t>
            </w:r>
            <w:proofErr w:type="spellEnd"/>
            <w:r w:rsidRPr="00D26E1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sz w:val="24"/>
                <w:szCs w:val="24"/>
                <w:lang w:eastAsia="tr-TR"/>
              </w:rPr>
              <w:t>bedelleri</w:t>
            </w:r>
            <w:r>
              <w:rPr>
                <w:sz w:val="24"/>
                <w:szCs w:val="24"/>
                <w:lang w:eastAsia="tr-TR"/>
              </w:rPr>
              <w:t>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hatalı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gelmesi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837AC0" w:rsidRDefault="00CB7B60" w:rsidP="002F246B">
            <w:pPr>
              <w:jc w:val="both"/>
            </w:pPr>
            <w:proofErr w:type="spellStart"/>
            <w:r>
              <w:t>Ödeme</w:t>
            </w:r>
            <w:proofErr w:type="spellEnd"/>
            <w:r>
              <w:t xml:space="preserve"> </w:t>
            </w:r>
            <w:proofErr w:type="spellStart"/>
            <w:r>
              <w:t>yapan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satınalama</w:t>
            </w:r>
            <w:proofErr w:type="spellEnd"/>
            <w:r>
              <w:t xml:space="preserve"> </w:t>
            </w:r>
            <w:proofErr w:type="spellStart"/>
            <w:r>
              <w:t>görevlisi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</w:t>
            </w:r>
            <w:r w:rsidRPr="00D26E15">
              <w:rPr>
                <w:sz w:val="24"/>
                <w:szCs w:val="24"/>
                <w:lang w:eastAsia="tr-TR"/>
              </w:rPr>
              <w:t>z</w:t>
            </w:r>
            <w:r>
              <w:rPr>
                <w:sz w:val="24"/>
                <w:szCs w:val="24"/>
                <w:lang w:eastAsia="tr-TR"/>
              </w:rPr>
              <w:t>el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tüketim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sayaç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okuma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bedelini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önceki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ayla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karşılaştırarak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aradaki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farkın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tutarsız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olması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durumunda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sayaçların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tekrar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okunmasını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ilgili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birimden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talep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etmesi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0" w:type="dxa"/>
          </w:tcPr>
          <w:p w:rsidR="00837AC0" w:rsidRDefault="00837AC0" w:rsidP="00530E4B">
            <w:proofErr w:type="spellStart"/>
            <w:r>
              <w:t>Ödeme</w:t>
            </w:r>
            <w:proofErr w:type="spellEnd"/>
            <w:r>
              <w:t xml:space="preserve"> </w:t>
            </w:r>
            <w:proofErr w:type="spellStart"/>
            <w:r>
              <w:t>yapan</w:t>
            </w:r>
            <w:proofErr w:type="spellEnd"/>
            <w:r>
              <w:t xml:space="preserve"> </w:t>
            </w:r>
            <w:proofErr w:type="spellStart"/>
            <w:r>
              <w:t>ilg</w:t>
            </w:r>
            <w:bookmarkStart w:id="0" w:name="_GoBack"/>
            <w:bookmarkEnd w:id="0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satınalama</w:t>
            </w:r>
            <w:proofErr w:type="spellEnd"/>
            <w:r>
              <w:t xml:space="preserve"> </w:t>
            </w:r>
            <w:proofErr w:type="spellStart"/>
            <w:r>
              <w:t>görevlisi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tüketim</w:t>
            </w:r>
            <w:proofErr w:type="spellEnd"/>
            <w:r>
              <w:t xml:space="preserve"> </w:t>
            </w:r>
            <w:proofErr w:type="spellStart"/>
            <w:r>
              <w:t>sayaçların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 </w:t>
            </w:r>
            <w:proofErr w:type="spellStart"/>
            <w:r>
              <w:t>okutulması</w:t>
            </w:r>
            <w:proofErr w:type="spellEnd"/>
            <w:r>
              <w:t>.</w:t>
            </w:r>
          </w:p>
        </w:tc>
      </w:tr>
      <w:tr w:rsidR="00837AC0" w:rsidTr="00CD697C">
        <w:trPr>
          <w:trHeight w:hRule="exact" w:val="1566"/>
        </w:trPr>
        <w:tc>
          <w:tcPr>
            <w:tcW w:w="4253" w:type="dxa"/>
          </w:tcPr>
          <w:p w:rsidR="00837AC0" w:rsidRPr="00AA50BF" w:rsidRDefault="00837AC0" w:rsidP="00C01B39">
            <w:pPr>
              <w:jc w:val="both"/>
              <w:rPr>
                <w:sz w:val="24"/>
                <w:szCs w:val="24"/>
                <w:lang w:eastAsia="tr-TR"/>
              </w:rPr>
            </w:pPr>
            <w:r>
              <w:t>4-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İ</w:t>
            </w:r>
            <w:r w:rsidRPr="00AA50BF">
              <w:rPr>
                <w:sz w:val="24"/>
                <w:szCs w:val="24"/>
                <w:lang w:eastAsia="tr-TR"/>
              </w:rPr>
              <w:t>haleye</w:t>
            </w:r>
            <w:proofErr w:type="spellEnd"/>
            <w:r w:rsidRPr="00AA50BF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sz w:val="24"/>
                <w:szCs w:val="24"/>
                <w:lang w:eastAsia="tr-TR"/>
              </w:rPr>
              <w:t>ait</w:t>
            </w:r>
            <w:proofErr w:type="spellEnd"/>
            <w:r w:rsidRPr="00AA50BF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dökümanların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sz w:val="24"/>
                <w:szCs w:val="24"/>
                <w:lang w:eastAsia="tr-TR"/>
              </w:rPr>
              <w:t>içeriğinde</w:t>
            </w:r>
            <w:proofErr w:type="spellEnd"/>
            <w:r w:rsidRPr="00AA50BF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bilgilerinde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sz w:val="24"/>
                <w:szCs w:val="24"/>
                <w:lang w:eastAsia="tr-TR"/>
              </w:rPr>
              <w:t>hata</w:t>
            </w:r>
            <w:proofErr w:type="spellEnd"/>
            <w:r w:rsidRPr="00AA50BF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sz w:val="24"/>
                <w:szCs w:val="24"/>
                <w:lang w:eastAsia="tr-TR"/>
              </w:rPr>
              <w:t>olma</w:t>
            </w:r>
            <w:r>
              <w:rPr>
                <w:sz w:val="24"/>
                <w:szCs w:val="24"/>
                <w:lang w:eastAsia="tr-TR"/>
              </w:rPr>
              <w:t>sı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837AC0" w:rsidRDefault="00837AC0" w:rsidP="00530E4B"/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837AC0" w:rsidRDefault="00E70A20" w:rsidP="002047FC">
            <w:pPr>
              <w:jc w:val="both"/>
            </w:pPr>
            <w:proofErr w:type="spellStart"/>
            <w:r w:rsidRPr="00BE7A0D">
              <w:t>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dökümanlarını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ilanı</w:t>
            </w:r>
            <w:proofErr w:type="spellEnd"/>
            <w:r>
              <w:t xml:space="preserve"> </w:t>
            </w:r>
            <w:proofErr w:type="spellStart"/>
            <w:r w:rsidRPr="00BE7A0D">
              <w:t>hazırlayan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kişinin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gerekli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bilgi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donanımının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sağlanması.İhale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dokümanlarında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bilgilerinin</w:t>
            </w:r>
            <w:proofErr w:type="spellEnd"/>
            <w:r>
              <w:t xml:space="preserve"> </w:t>
            </w:r>
            <w:proofErr w:type="spellStart"/>
            <w:r w:rsidRPr="00BE7A0D">
              <w:t>düzeltilmesi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uygun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görülen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değişiklikler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EKAP’ta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zeyilname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düzenlenerek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düzeltilir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837AC0" w:rsidRDefault="002047FC" w:rsidP="00530E4B">
            <w:proofErr w:type="spellStart"/>
            <w:r w:rsidRPr="00BE7A0D">
              <w:t>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dökümanlarını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ilanı</w:t>
            </w:r>
            <w:proofErr w:type="spellEnd"/>
            <w:r>
              <w:t xml:space="preserve"> </w:t>
            </w:r>
            <w:proofErr w:type="spellStart"/>
            <w:r w:rsidRPr="00BE7A0D">
              <w:t>hazırlayan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kişinin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gerekli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bilgi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donanımının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sağlanması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gönderilmiştir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Değişiklik</w:t>
            </w:r>
            <w:proofErr w:type="spellEnd"/>
            <w:r>
              <w:t xml:space="preserve">  </w:t>
            </w:r>
            <w:proofErr w:type="spellStart"/>
            <w:r>
              <w:t>görülen</w:t>
            </w:r>
            <w:proofErr w:type="spellEnd"/>
            <w:proofErr w:type="gramEnd"/>
            <w:r>
              <w:t xml:space="preserve"> </w:t>
            </w:r>
            <w:proofErr w:type="spellStart"/>
            <w:r w:rsidR="00837AC0" w:rsidRPr="00BE7A0D">
              <w:t>İhale</w:t>
            </w:r>
            <w:proofErr w:type="spellEnd"/>
            <w:r w:rsidR="00837AC0" w:rsidRPr="00BE7A0D">
              <w:t xml:space="preserve"> </w:t>
            </w:r>
            <w:proofErr w:type="spellStart"/>
            <w:r w:rsidR="00837AC0" w:rsidRPr="00BE7A0D">
              <w:t>dökümanlarını</w:t>
            </w:r>
            <w:r w:rsidR="00837AC0">
              <w:t>n</w:t>
            </w:r>
            <w:proofErr w:type="spellEnd"/>
            <w:r w:rsidR="00837AC0" w:rsidRPr="00BE7A0D">
              <w:t xml:space="preserve"> </w:t>
            </w:r>
            <w:proofErr w:type="spellStart"/>
            <w:r w:rsidR="00837AC0">
              <w:t>ve</w:t>
            </w:r>
            <w:proofErr w:type="spellEnd"/>
            <w:r w:rsidR="00837AC0">
              <w:t xml:space="preserve"> </w:t>
            </w:r>
            <w:proofErr w:type="spellStart"/>
            <w:r w:rsidR="00837AC0">
              <w:t>ilanıların</w:t>
            </w:r>
            <w:proofErr w:type="spellEnd"/>
            <w:r w:rsidR="00837AC0">
              <w:t xml:space="preserve"> </w:t>
            </w:r>
            <w:proofErr w:type="spellStart"/>
            <w:r w:rsidR="00837AC0">
              <w:t>EKAP’ta</w:t>
            </w:r>
            <w:proofErr w:type="spellEnd"/>
            <w:r w:rsidR="00837AC0">
              <w:t xml:space="preserve"> </w:t>
            </w:r>
            <w:proofErr w:type="spellStart"/>
            <w:r w:rsidR="00837AC0">
              <w:t>zeyilname</w:t>
            </w:r>
            <w:proofErr w:type="spellEnd"/>
            <w:r w:rsidR="00837AC0">
              <w:t xml:space="preserve"> </w:t>
            </w:r>
            <w:proofErr w:type="spellStart"/>
            <w:r w:rsidR="00837AC0">
              <w:t>ile</w:t>
            </w:r>
            <w:proofErr w:type="spellEnd"/>
            <w:r w:rsidR="00837AC0">
              <w:t xml:space="preserve"> </w:t>
            </w:r>
            <w:proofErr w:type="spellStart"/>
            <w:r w:rsidR="00837AC0">
              <w:t>düzeltilmesi</w:t>
            </w:r>
            <w:proofErr w:type="spellEnd"/>
            <w:r w:rsidR="00837AC0">
              <w:t>.</w:t>
            </w:r>
          </w:p>
        </w:tc>
      </w:tr>
      <w:tr w:rsidR="00837AC0" w:rsidTr="00CD697C">
        <w:trPr>
          <w:trHeight w:hRule="exact" w:val="979"/>
        </w:trPr>
        <w:tc>
          <w:tcPr>
            <w:tcW w:w="4253" w:type="dxa"/>
          </w:tcPr>
          <w:p w:rsidR="00837AC0" w:rsidRDefault="00837AC0" w:rsidP="00C01B39">
            <w:r>
              <w:t xml:space="preserve">5- </w:t>
            </w:r>
            <w:proofErr w:type="spellStart"/>
            <w:r>
              <w:t>İhale</w:t>
            </w:r>
            <w:proofErr w:type="spellEnd"/>
            <w:r>
              <w:t xml:space="preserve">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parasının</w:t>
            </w:r>
            <w:proofErr w:type="spellEnd"/>
            <w:r>
              <w:t xml:space="preserve"> </w:t>
            </w:r>
            <w:proofErr w:type="spellStart"/>
            <w:r>
              <w:t>yatırılmaması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837AC0" w:rsidRDefault="00E70A20" w:rsidP="00530E4B"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İlan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parasının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ilgili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birimce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kanuni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sürede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yatırılıp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yatırılmadığını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takip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eastAsia="Calibri"/>
                <w:sz w:val="24"/>
                <w:szCs w:val="24"/>
                <w:lang w:eastAsia="tr-TR"/>
              </w:rPr>
              <w:t>etmek</w:t>
            </w:r>
            <w:proofErr w:type="spellEnd"/>
            <w:r w:rsidRPr="001E4ABB">
              <w:rPr>
                <w:rFonts w:eastAsia="Calibr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0" w:type="dxa"/>
          </w:tcPr>
          <w:p w:rsidR="00837AC0" w:rsidRDefault="00837AC0" w:rsidP="00C01B39"/>
        </w:tc>
      </w:tr>
      <w:tr w:rsidR="00837AC0" w:rsidTr="00E70A20">
        <w:trPr>
          <w:trHeight w:hRule="exact" w:val="113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837AC0" w:rsidRPr="00C01B39" w:rsidRDefault="00837AC0" w:rsidP="00C01B39">
            <w:pPr>
              <w:jc w:val="both"/>
              <w:rPr>
                <w:sz w:val="24"/>
                <w:szCs w:val="24"/>
              </w:rPr>
            </w:pPr>
            <w:r>
              <w:t>6-</w:t>
            </w:r>
            <w:r w:rsidRPr="00EA20E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İhale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komisyonu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kararında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hata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olma</w:t>
            </w:r>
            <w:r>
              <w:rPr>
                <w:sz w:val="24"/>
                <w:szCs w:val="24"/>
              </w:rPr>
              <w:t>sı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</w:p>
          <w:p w:rsidR="00837AC0" w:rsidRDefault="00837AC0" w:rsidP="00530E4B"/>
        </w:tc>
        <w:tc>
          <w:tcPr>
            <w:tcW w:w="1134" w:type="dxa"/>
            <w:tcBorders>
              <w:bottom w:val="single" w:sz="4" w:space="0" w:color="000000"/>
            </w:tcBorders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37AC0" w:rsidRDefault="00E70A20" w:rsidP="00530E4B">
            <w:proofErr w:type="spellStart"/>
            <w:r>
              <w:t>Komisyonda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personele</w:t>
            </w:r>
            <w:proofErr w:type="spellEnd"/>
            <w:r>
              <w:t xml:space="preserve"> </w:t>
            </w:r>
            <w:proofErr w:type="spellStart"/>
            <w:r>
              <w:t>hizmetiçi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eğitimlere</w:t>
            </w:r>
            <w:proofErr w:type="spellEnd"/>
            <w:r>
              <w:t xml:space="preserve"> </w:t>
            </w:r>
            <w:proofErr w:type="spellStart"/>
            <w:r>
              <w:t>gönderilmesi</w:t>
            </w:r>
            <w:proofErr w:type="spellEnd"/>
            <w:r>
              <w:t xml:space="preserve">. </w:t>
            </w:r>
            <w:proofErr w:type="spellStart"/>
            <w:r>
              <w:t>İhale</w:t>
            </w:r>
            <w:proofErr w:type="spellEnd"/>
            <w:r>
              <w:t xml:space="preserve"> </w:t>
            </w:r>
            <w:proofErr w:type="spellStart"/>
            <w:r>
              <w:t>Yetkilisi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kararın</w:t>
            </w:r>
            <w:proofErr w:type="spellEnd"/>
            <w:r>
              <w:t xml:space="preserve"> </w:t>
            </w:r>
            <w:proofErr w:type="spellStart"/>
            <w:r>
              <w:t>onaylamaması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37AC0" w:rsidRDefault="002047FC" w:rsidP="00530E4B">
            <w:proofErr w:type="spellStart"/>
            <w:r>
              <w:t>Komisyonda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gönderilmiştir</w:t>
            </w:r>
            <w:proofErr w:type="spellEnd"/>
            <w:r>
              <w:t>.</w:t>
            </w:r>
          </w:p>
        </w:tc>
      </w:tr>
      <w:tr w:rsidR="00837AC0" w:rsidTr="00CD697C">
        <w:trPr>
          <w:trHeight w:hRule="exact" w:val="2557"/>
        </w:trPr>
        <w:tc>
          <w:tcPr>
            <w:tcW w:w="4253" w:type="dxa"/>
            <w:tcBorders>
              <w:bottom w:val="single" w:sz="4" w:space="0" w:color="000000"/>
            </w:tcBorders>
          </w:tcPr>
          <w:p w:rsidR="00837AC0" w:rsidRDefault="00837AC0" w:rsidP="00C01B39">
            <w:pPr>
              <w:jc w:val="both"/>
              <w:rPr>
                <w:sz w:val="24"/>
                <w:szCs w:val="24"/>
              </w:rPr>
            </w:pPr>
            <w:r>
              <w:lastRenderedPageBreak/>
              <w:t>7-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Sözleşmenin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imzalanmaması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7AC0" w:rsidRDefault="00837AC0" w:rsidP="00530E4B"/>
        </w:tc>
        <w:tc>
          <w:tcPr>
            <w:tcW w:w="1134" w:type="dxa"/>
            <w:tcBorders>
              <w:bottom w:val="single" w:sz="4" w:space="0" w:color="000000"/>
            </w:tcBorders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37AC0" w:rsidRPr="003A6AF9" w:rsidRDefault="00837AC0" w:rsidP="00221F91">
            <w:pPr>
              <w:ind w:left="-108" w:firstLine="108"/>
              <w:jc w:val="center"/>
              <w:rPr>
                <w:sz w:val="24"/>
                <w:szCs w:val="24"/>
              </w:rPr>
            </w:pP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edilen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firmanın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belgelerinde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hata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olması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veya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olması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>urumunda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ilgili</w:t>
            </w:r>
            <w:proofErr w:type="spellEnd"/>
            <w:r w:rsidRPr="003A6AF9">
              <w:rPr>
                <w:sz w:val="24"/>
                <w:szCs w:val="24"/>
              </w:rPr>
              <w:t xml:space="preserve"> satın alma </w:t>
            </w:r>
            <w:proofErr w:type="spellStart"/>
            <w:r w:rsidRPr="003A6AF9">
              <w:rPr>
                <w:sz w:val="24"/>
                <w:szCs w:val="24"/>
              </w:rPr>
              <w:t>görevlisi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tarafından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3727DA">
              <w:rPr>
                <w:sz w:val="24"/>
                <w:szCs w:val="24"/>
              </w:rPr>
              <w:t>süresi</w:t>
            </w:r>
            <w:proofErr w:type="spellEnd"/>
            <w:r w:rsidR="003727DA">
              <w:rPr>
                <w:sz w:val="24"/>
                <w:szCs w:val="24"/>
              </w:rPr>
              <w:t xml:space="preserve"> </w:t>
            </w:r>
            <w:proofErr w:type="spellStart"/>
            <w:r w:rsidR="003727DA">
              <w:rPr>
                <w:sz w:val="24"/>
                <w:szCs w:val="24"/>
              </w:rPr>
              <w:t>içinde</w:t>
            </w:r>
            <w:proofErr w:type="spellEnd"/>
            <w:r w:rsidR="003727DA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hatalı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düzelttirilir</w:t>
            </w:r>
            <w:proofErr w:type="spellEnd"/>
            <w:r w:rsidRPr="003A6AF9">
              <w:rPr>
                <w:sz w:val="24"/>
                <w:szCs w:val="24"/>
              </w:rPr>
              <w:t xml:space="preserve">,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tamamlattırılır</w:t>
            </w:r>
            <w:proofErr w:type="spellEnd"/>
            <w:r w:rsidRPr="003A6AF9">
              <w:rPr>
                <w:sz w:val="24"/>
                <w:szCs w:val="24"/>
              </w:rPr>
              <w:t xml:space="preserve">. </w:t>
            </w: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gelmeme</w:t>
            </w:r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durumunda</w:t>
            </w:r>
            <w:proofErr w:type="spellEnd"/>
            <w:r>
              <w:rPr>
                <w:sz w:val="24"/>
                <w:szCs w:val="24"/>
              </w:rPr>
              <w:t xml:space="preserve"> 2. En </w:t>
            </w:r>
            <w:proofErr w:type="spellStart"/>
            <w:r>
              <w:rPr>
                <w:sz w:val="24"/>
                <w:szCs w:val="24"/>
              </w:rPr>
              <w:t>avantajlıya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3A6AF9">
              <w:rPr>
                <w:sz w:val="24"/>
                <w:szCs w:val="24"/>
              </w:rPr>
              <w:t>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Mektubu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gönderilir</w:t>
            </w:r>
            <w:proofErr w:type="spellEnd"/>
            <w:r w:rsidRPr="003A6AF9">
              <w:rPr>
                <w:sz w:val="24"/>
                <w:szCs w:val="24"/>
              </w:rPr>
              <w:t>.</w:t>
            </w:r>
          </w:p>
          <w:p w:rsidR="00837AC0" w:rsidRDefault="00837AC0" w:rsidP="00221F91">
            <w:pPr>
              <w:ind w:left="-108" w:firstLine="108"/>
              <w:jc w:val="center"/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37AC0" w:rsidRDefault="00837AC0" w:rsidP="00221F91">
            <w:pPr>
              <w:jc w:val="both"/>
            </w:pP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edilen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firmanın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gelmemesi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durumunda</w:t>
            </w:r>
            <w:proofErr w:type="spellEnd"/>
            <w:r>
              <w:rPr>
                <w:sz w:val="24"/>
                <w:szCs w:val="24"/>
              </w:rPr>
              <w:t xml:space="preserve"> 2. En </w:t>
            </w:r>
            <w:proofErr w:type="spellStart"/>
            <w:r>
              <w:rPr>
                <w:sz w:val="24"/>
                <w:szCs w:val="24"/>
              </w:rPr>
              <w:t>avantajlı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firmanın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sözleşme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imzalanması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7AC0" w:rsidTr="00221F91">
        <w:trPr>
          <w:trHeight w:hRule="exact" w:val="1133"/>
        </w:trPr>
        <w:tc>
          <w:tcPr>
            <w:tcW w:w="4253" w:type="dxa"/>
            <w:tcBorders>
              <w:top w:val="single" w:sz="4" w:space="0" w:color="000000"/>
            </w:tcBorders>
          </w:tcPr>
          <w:p w:rsidR="00837AC0" w:rsidRDefault="00837AC0" w:rsidP="0002179E">
            <w:pPr>
              <w:jc w:val="both"/>
            </w:pPr>
            <w:r>
              <w:t>8-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</w:rPr>
              <w:t>Ambar</w:t>
            </w:r>
            <w:proofErr w:type="spellEnd"/>
            <w:r w:rsidR="0002179E">
              <w:rPr>
                <w:sz w:val="24"/>
                <w:szCs w:val="24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</w:rPr>
              <w:t>s</w:t>
            </w:r>
            <w:r w:rsidRPr="002164D6">
              <w:rPr>
                <w:sz w:val="24"/>
                <w:szCs w:val="24"/>
              </w:rPr>
              <w:t>ayım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işlemlerinin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837AC0" w:rsidRDefault="0002179E" w:rsidP="00221F91">
            <w:pPr>
              <w:ind w:left="-108" w:firstLine="108"/>
              <w:jc w:val="center"/>
            </w:pPr>
            <w:proofErr w:type="spellStart"/>
            <w:r w:rsidRPr="00F56CE3">
              <w:rPr>
                <w:sz w:val="24"/>
                <w:szCs w:val="24"/>
                <w:lang w:eastAsia="tr-TR"/>
              </w:rPr>
              <w:t>Sayım</w:t>
            </w:r>
            <w:proofErr w:type="spellEnd"/>
            <w:r w:rsidRPr="00F56CE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sürecinde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ambara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mal </w:t>
            </w:r>
            <w:proofErr w:type="spellStart"/>
            <w:r>
              <w:rPr>
                <w:sz w:val="24"/>
                <w:szCs w:val="24"/>
                <w:lang w:eastAsia="tr-TR"/>
              </w:rPr>
              <w:t>giriş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çıkışların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durdurulması</w:t>
            </w:r>
            <w:proofErr w:type="spellEnd"/>
            <w:proofErr w:type="gramStart"/>
            <w:r>
              <w:rPr>
                <w:sz w:val="24"/>
                <w:szCs w:val="24"/>
                <w:lang w:eastAsia="tr-TR"/>
              </w:rPr>
              <w:t>.</w:t>
            </w:r>
            <w:r w:rsidR="00837AC0" w:rsidRPr="00F56CE3">
              <w:rPr>
                <w:sz w:val="24"/>
                <w:szCs w:val="24"/>
                <w:lang w:eastAsia="tr-TR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37AC0" w:rsidRDefault="002047FC" w:rsidP="002047FC">
            <w:proofErr w:type="spellStart"/>
            <w:r w:rsidRPr="00F56CE3">
              <w:rPr>
                <w:sz w:val="24"/>
                <w:szCs w:val="24"/>
                <w:lang w:eastAsia="tr-TR"/>
              </w:rPr>
              <w:t>Sayım</w:t>
            </w:r>
            <w:proofErr w:type="spellEnd"/>
            <w:r w:rsidRPr="00F56CE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sürecinde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ambara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mal </w:t>
            </w:r>
            <w:proofErr w:type="spellStart"/>
            <w:r>
              <w:rPr>
                <w:sz w:val="24"/>
                <w:szCs w:val="24"/>
                <w:lang w:eastAsia="tr-TR"/>
              </w:rPr>
              <w:t>giriş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çıkışlar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durdurulmuştur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837AC0" w:rsidTr="00934621">
        <w:trPr>
          <w:trHeight w:hRule="exact" w:val="1121"/>
        </w:trPr>
        <w:tc>
          <w:tcPr>
            <w:tcW w:w="4253" w:type="dxa"/>
          </w:tcPr>
          <w:p w:rsidR="00837AC0" w:rsidRDefault="00837AC0" w:rsidP="00934621">
            <w:pPr>
              <w:jc w:val="both"/>
            </w:pPr>
            <w:r>
              <w:t>9-</w:t>
            </w:r>
            <w:r>
              <w:rPr>
                <w:sz w:val="24"/>
                <w:szCs w:val="24"/>
              </w:rPr>
              <w:t>S</w:t>
            </w:r>
            <w:r w:rsidRPr="0011214A">
              <w:rPr>
                <w:sz w:val="24"/>
                <w:szCs w:val="24"/>
              </w:rPr>
              <w:t xml:space="preserve">ivil </w:t>
            </w:r>
            <w:proofErr w:type="spellStart"/>
            <w:r w:rsidRPr="0011214A">
              <w:rPr>
                <w:sz w:val="24"/>
                <w:szCs w:val="24"/>
              </w:rPr>
              <w:t>savunma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planı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veya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tedbir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planı</w:t>
            </w:r>
            <w:proofErr w:type="spellEnd"/>
            <w:r w:rsidRPr="0011214A">
              <w:rPr>
                <w:sz w:val="24"/>
                <w:szCs w:val="24"/>
              </w:rPr>
              <w:t>/</w:t>
            </w:r>
            <w:proofErr w:type="spellStart"/>
            <w:r w:rsidRPr="0011214A">
              <w:rPr>
                <w:sz w:val="24"/>
                <w:szCs w:val="24"/>
              </w:rPr>
              <w:t>Talimat</w:t>
            </w:r>
            <w:r>
              <w:rPr>
                <w:sz w:val="24"/>
                <w:szCs w:val="24"/>
              </w:rPr>
              <w:t>ı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formatı</w:t>
            </w:r>
            <w:r>
              <w:rPr>
                <w:sz w:val="24"/>
                <w:szCs w:val="24"/>
              </w:rPr>
              <w:t>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düzenlenmesi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837AC0" w:rsidRDefault="00837AC0" w:rsidP="00530E4B">
            <w:proofErr w:type="spellStart"/>
            <w:r>
              <w:t>Planlama</w:t>
            </w:r>
            <w:proofErr w:type="spellEnd"/>
            <w:r>
              <w:t xml:space="preserve"> </w:t>
            </w:r>
            <w:proofErr w:type="spellStart"/>
            <w:r>
              <w:t>döneminde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Sivil</w:t>
            </w:r>
            <w:proofErr w:type="spellEnd"/>
            <w:r>
              <w:t xml:space="preserve"> </w:t>
            </w:r>
            <w:proofErr w:type="spellStart"/>
            <w:r>
              <w:t>Savunma</w:t>
            </w:r>
            <w:proofErr w:type="spellEnd"/>
            <w:r>
              <w:t xml:space="preserve"> Plan/ </w:t>
            </w:r>
            <w:proofErr w:type="spellStart"/>
            <w:r>
              <w:t>Talimatların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hükümlerine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kurumun</w:t>
            </w:r>
            <w:proofErr w:type="spellEnd"/>
            <w:r>
              <w:t xml:space="preserve"> </w:t>
            </w:r>
            <w:proofErr w:type="spellStart"/>
            <w:r>
              <w:t>yapısına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  <w:r>
              <w:t xml:space="preserve"> </w:t>
            </w:r>
            <w:proofErr w:type="spellStart"/>
            <w:r>
              <w:t>gerekmektedir</w:t>
            </w:r>
            <w:proofErr w:type="spellEnd"/>
          </w:p>
        </w:tc>
        <w:tc>
          <w:tcPr>
            <w:tcW w:w="3260" w:type="dxa"/>
          </w:tcPr>
          <w:p w:rsidR="00837AC0" w:rsidRDefault="00837AC0" w:rsidP="002047FC">
            <w:pPr>
              <w:jc w:val="both"/>
            </w:pPr>
            <w:proofErr w:type="spellStart"/>
            <w:r>
              <w:t>Sivil</w:t>
            </w:r>
            <w:proofErr w:type="spellEnd"/>
            <w:r>
              <w:t xml:space="preserve"> </w:t>
            </w:r>
            <w:proofErr w:type="spellStart"/>
            <w:r>
              <w:t>Savunma</w:t>
            </w:r>
            <w:proofErr w:type="spellEnd"/>
            <w:r>
              <w:t xml:space="preserve"> Plan/ </w:t>
            </w:r>
            <w:proofErr w:type="spellStart"/>
            <w:r>
              <w:t>Talimatların</w:t>
            </w:r>
            <w:proofErr w:type="spellEnd"/>
            <w:r>
              <w:t xml:space="preserve"> </w:t>
            </w:r>
            <w:proofErr w:type="spellStart"/>
            <w:r w:rsidR="002047FC">
              <w:t>mevzuat</w:t>
            </w:r>
            <w:proofErr w:type="spellEnd"/>
            <w:r w:rsidR="002047FC">
              <w:t xml:space="preserve"> </w:t>
            </w:r>
            <w:proofErr w:type="spellStart"/>
            <w:r w:rsidR="002047FC">
              <w:t>hükümlerine</w:t>
            </w:r>
            <w:proofErr w:type="spellEnd"/>
            <w:r w:rsidR="002047FC">
              <w:t xml:space="preserve"> </w:t>
            </w:r>
            <w:proofErr w:type="spellStart"/>
            <w:r w:rsidR="002047FC">
              <w:t>göre</w:t>
            </w:r>
            <w:proofErr w:type="spellEnd"/>
            <w:r w:rsidR="002047FC">
              <w:t xml:space="preserve"> </w:t>
            </w:r>
            <w:proofErr w:type="spellStart"/>
            <w:r w:rsidR="002047FC">
              <w:t>yapılmıştır</w:t>
            </w:r>
            <w:proofErr w:type="spellEnd"/>
            <w:r w:rsidR="002047FC">
              <w:t>.</w:t>
            </w:r>
          </w:p>
        </w:tc>
      </w:tr>
      <w:tr w:rsidR="00837AC0" w:rsidTr="00CD697C">
        <w:trPr>
          <w:trHeight w:hRule="exact" w:val="792"/>
        </w:trPr>
        <w:tc>
          <w:tcPr>
            <w:tcW w:w="4253" w:type="dxa"/>
          </w:tcPr>
          <w:p w:rsidR="0002179E" w:rsidRPr="00E937CE" w:rsidRDefault="00837AC0" w:rsidP="0002179E">
            <w:pPr>
              <w:jc w:val="both"/>
              <w:rPr>
                <w:sz w:val="24"/>
                <w:szCs w:val="24"/>
                <w:lang w:eastAsia="tr-TR"/>
              </w:rPr>
            </w:pPr>
            <w:r>
              <w:t>10-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Kiralamalarda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Kıymet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Takdir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komisyonunun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İ</w:t>
            </w:r>
            <w:r w:rsidR="0002179E" w:rsidRPr="00E937CE">
              <w:rPr>
                <w:sz w:val="24"/>
                <w:szCs w:val="24"/>
                <w:lang w:eastAsia="tr-TR"/>
              </w:rPr>
              <w:t>şletme</w:t>
            </w:r>
            <w:proofErr w:type="spellEnd"/>
            <w:r w:rsidR="0002179E" w:rsidRPr="00E937C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hakkı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bedelini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yanlış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  <w:lang w:eastAsia="tr-TR"/>
              </w:rPr>
              <w:t>hesaplaması</w:t>
            </w:r>
            <w:proofErr w:type="spellEnd"/>
            <w:r w:rsidR="0002179E">
              <w:rPr>
                <w:sz w:val="24"/>
                <w:szCs w:val="24"/>
                <w:lang w:eastAsia="tr-TR"/>
              </w:rPr>
              <w:t>.</w:t>
            </w:r>
          </w:p>
          <w:p w:rsidR="00837AC0" w:rsidRDefault="00837AC0" w:rsidP="00934621">
            <w:pPr>
              <w:jc w:val="both"/>
            </w:pPr>
          </w:p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837AC0" w:rsidRDefault="00837AC0" w:rsidP="00530E4B">
            <w:proofErr w:type="spellStart"/>
            <w:r>
              <w:t>Evrakların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837AC0" w:rsidRDefault="00837AC0" w:rsidP="002047FC">
            <w:proofErr w:type="spellStart"/>
            <w:proofErr w:type="gramStart"/>
            <w:r>
              <w:t>Hesaplamanın</w:t>
            </w:r>
            <w:proofErr w:type="spellEnd"/>
            <w:r w:rsidR="002047FC">
              <w:t xml:space="preserve"> </w:t>
            </w:r>
            <w:r>
              <w:t xml:space="preserve"> </w:t>
            </w:r>
            <w:proofErr w:type="spellStart"/>
            <w:r>
              <w:t>kontrol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edil</w:t>
            </w:r>
            <w:r w:rsidR="002047FC">
              <w:t>miştir</w:t>
            </w:r>
            <w:proofErr w:type="spellEnd"/>
            <w:r w:rsidR="002047FC">
              <w:t>.</w:t>
            </w:r>
            <w:r>
              <w:t>.</w:t>
            </w:r>
          </w:p>
        </w:tc>
      </w:tr>
      <w:tr w:rsidR="00837AC0" w:rsidTr="00CD697C">
        <w:trPr>
          <w:trHeight w:hRule="exact" w:val="792"/>
        </w:trPr>
        <w:tc>
          <w:tcPr>
            <w:tcW w:w="4253" w:type="dxa"/>
          </w:tcPr>
          <w:p w:rsidR="00837AC0" w:rsidRPr="00E937CE" w:rsidRDefault="00837AC0" w:rsidP="00934621">
            <w:pPr>
              <w:jc w:val="both"/>
              <w:rPr>
                <w:sz w:val="24"/>
                <w:szCs w:val="24"/>
                <w:lang w:eastAsia="tr-TR"/>
              </w:rPr>
            </w:pPr>
            <w:r>
              <w:t>11-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Şartnamede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hata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olması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837AC0" w:rsidRDefault="00837AC0" w:rsidP="00934621">
            <w:pPr>
              <w:jc w:val="both"/>
            </w:pPr>
          </w:p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02179E" w:rsidRDefault="0002179E" w:rsidP="0002179E">
            <w:proofErr w:type="spellStart"/>
            <w:r>
              <w:t>Şartnameyi</w:t>
            </w:r>
            <w:proofErr w:type="spellEnd"/>
            <w:r>
              <w:t xml:space="preserve"> </w:t>
            </w:r>
            <w:proofErr w:type="spellStart"/>
            <w:r>
              <w:t>hazırlayan</w:t>
            </w:r>
            <w:proofErr w:type="spellEnd"/>
            <w:r>
              <w:t xml:space="preserve"> </w:t>
            </w:r>
            <w:proofErr w:type="spellStart"/>
            <w:r>
              <w:t>kişinin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donanımının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  <w:p w:rsidR="00837AC0" w:rsidRDefault="00837AC0" w:rsidP="00530E4B"/>
        </w:tc>
        <w:tc>
          <w:tcPr>
            <w:tcW w:w="3260" w:type="dxa"/>
          </w:tcPr>
          <w:p w:rsidR="00837AC0" w:rsidRDefault="00837AC0" w:rsidP="00934621">
            <w:proofErr w:type="spellStart"/>
            <w:r>
              <w:t>Şartnameyi</w:t>
            </w:r>
            <w:proofErr w:type="spellEnd"/>
            <w:r>
              <w:t xml:space="preserve"> </w:t>
            </w:r>
            <w:proofErr w:type="spellStart"/>
            <w:r>
              <w:t>hazırlayan</w:t>
            </w:r>
            <w:proofErr w:type="spellEnd"/>
            <w:r>
              <w:t xml:space="preserve"> </w:t>
            </w:r>
            <w:proofErr w:type="spellStart"/>
            <w:r>
              <w:t>kişinin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mevzuatl</w:t>
            </w:r>
            <w:r w:rsidR="002047FC">
              <w:t>ar</w:t>
            </w:r>
            <w:proofErr w:type="spellEnd"/>
            <w:r w:rsidR="002047FC">
              <w:t xml:space="preserve"> </w:t>
            </w:r>
            <w:proofErr w:type="spellStart"/>
            <w:r w:rsidR="002047FC">
              <w:t>hakkında</w:t>
            </w:r>
            <w:proofErr w:type="spellEnd"/>
            <w:r w:rsidR="002047FC">
              <w:t xml:space="preserve"> </w:t>
            </w:r>
            <w:proofErr w:type="spellStart"/>
            <w:r w:rsidR="002047FC">
              <w:t>bilgi</w:t>
            </w:r>
            <w:proofErr w:type="spellEnd"/>
            <w:r w:rsidR="002047FC">
              <w:t xml:space="preserve"> </w:t>
            </w:r>
            <w:proofErr w:type="spellStart"/>
            <w:r w:rsidR="002047FC">
              <w:t>sahibi</w:t>
            </w:r>
            <w:proofErr w:type="spellEnd"/>
            <w:r w:rsidR="002047FC">
              <w:t xml:space="preserve"> </w:t>
            </w:r>
            <w:proofErr w:type="spellStart"/>
            <w:r w:rsidR="002047FC">
              <w:t>olması</w:t>
            </w:r>
            <w:proofErr w:type="spellEnd"/>
            <w:r w:rsidR="002047FC">
              <w:t xml:space="preserve"> </w:t>
            </w:r>
            <w:proofErr w:type="spellStart"/>
            <w:r w:rsidR="002047FC">
              <w:t>için</w:t>
            </w:r>
            <w:proofErr w:type="spellEnd"/>
            <w:r w:rsidR="002047FC">
              <w:t xml:space="preserve"> </w:t>
            </w:r>
            <w:proofErr w:type="spellStart"/>
            <w:r w:rsidR="002047FC">
              <w:t>eğitime</w:t>
            </w:r>
            <w:proofErr w:type="spellEnd"/>
            <w:r w:rsidR="002047FC">
              <w:t xml:space="preserve"> </w:t>
            </w:r>
            <w:proofErr w:type="spellStart"/>
            <w:r w:rsidR="002047FC">
              <w:t>gönderilmiştir</w:t>
            </w:r>
            <w:proofErr w:type="spellEnd"/>
            <w:r w:rsidR="002047FC">
              <w:t>.</w:t>
            </w:r>
          </w:p>
          <w:p w:rsidR="00837AC0" w:rsidRDefault="00837AC0" w:rsidP="00530E4B"/>
        </w:tc>
      </w:tr>
      <w:tr w:rsidR="00837AC0" w:rsidTr="00934621">
        <w:trPr>
          <w:trHeight w:hRule="exact" w:val="2236"/>
        </w:trPr>
        <w:tc>
          <w:tcPr>
            <w:tcW w:w="4253" w:type="dxa"/>
          </w:tcPr>
          <w:p w:rsidR="00837AC0" w:rsidRDefault="00837AC0" w:rsidP="00934621">
            <w:pPr>
              <w:jc w:val="both"/>
            </w:pPr>
            <w:r>
              <w:t>12-</w:t>
            </w:r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="0002179E" w:rsidRPr="00556688">
              <w:rPr>
                <w:sz w:val="24"/>
                <w:szCs w:val="24"/>
              </w:rPr>
              <w:t>Çalışanların</w:t>
            </w:r>
            <w:proofErr w:type="spellEnd"/>
            <w:r w:rsidR="0002179E" w:rsidRPr="00556688">
              <w:rPr>
                <w:sz w:val="24"/>
                <w:szCs w:val="24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</w:rPr>
              <w:t>ücret</w:t>
            </w:r>
            <w:proofErr w:type="spellEnd"/>
            <w:r w:rsidR="0002179E">
              <w:rPr>
                <w:sz w:val="24"/>
                <w:szCs w:val="24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</w:rPr>
              <w:t>ve</w:t>
            </w:r>
            <w:proofErr w:type="spellEnd"/>
            <w:r w:rsidR="0002179E">
              <w:rPr>
                <w:sz w:val="24"/>
                <w:szCs w:val="24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</w:rPr>
              <w:t>aylıklarının</w:t>
            </w:r>
            <w:proofErr w:type="spellEnd"/>
            <w:r w:rsidR="0002179E">
              <w:rPr>
                <w:sz w:val="24"/>
                <w:szCs w:val="24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</w:rPr>
              <w:t>yanlış</w:t>
            </w:r>
            <w:proofErr w:type="spellEnd"/>
            <w:r w:rsidR="0002179E">
              <w:rPr>
                <w:sz w:val="24"/>
                <w:szCs w:val="24"/>
              </w:rPr>
              <w:t xml:space="preserve"> </w:t>
            </w:r>
            <w:proofErr w:type="spellStart"/>
            <w:r w:rsidR="0002179E">
              <w:rPr>
                <w:sz w:val="24"/>
                <w:szCs w:val="24"/>
              </w:rPr>
              <w:t>hesaplanması</w:t>
            </w:r>
            <w:proofErr w:type="spellEnd"/>
          </w:p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837AC0" w:rsidRDefault="0002179E" w:rsidP="00934621">
            <w:pPr>
              <w:jc w:val="both"/>
            </w:pPr>
            <w:proofErr w:type="spellStart"/>
            <w:r w:rsidRPr="00556688">
              <w:rPr>
                <w:sz w:val="24"/>
                <w:szCs w:val="24"/>
              </w:rPr>
              <w:t>Yasal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mevzuatı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takip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etmek</w:t>
            </w:r>
            <w:proofErr w:type="spellEnd"/>
            <w:r w:rsidRPr="00556688">
              <w:rPr>
                <w:sz w:val="24"/>
                <w:szCs w:val="24"/>
              </w:rPr>
              <w:t xml:space="preserve">, </w:t>
            </w:r>
            <w:proofErr w:type="spellStart"/>
            <w:r w:rsidRPr="00556688">
              <w:rPr>
                <w:sz w:val="24"/>
                <w:szCs w:val="24"/>
              </w:rPr>
              <w:t>yapılacak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işlemler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için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güncel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bilgi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akışını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kontrol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etmek</w:t>
            </w:r>
            <w:proofErr w:type="spellEnd"/>
            <w:r w:rsidRPr="00556688">
              <w:rPr>
                <w:sz w:val="24"/>
                <w:szCs w:val="24"/>
              </w:rPr>
              <w:t xml:space="preserve">, </w:t>
            </w:r>
            <w:proofErr w:type="spellStart"/>
            <w:r w:rsidRPr="00556688">
              <w:rPr>
                <w:sz w:val="24"/>
                <w:szCs w:val="24"/>
              </w:rPr>
              <w:t>yapılacak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işlemleri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eksiksiz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kontrol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etmek</w:t>
            </w:r>
            <w:proofErr w:type="spellEnd"/>
            <w:r w:rsidRPr="00556688">
              <w:rPr>
                <w:sz w:val="24"/>
                <w:szCs w:val="24"/>
              </w:rPr>
              <w:t xml:space="preserve">, </w:t>
            </w:r>
            <w:proofErr w:type="spellStart"/>
            <w:r w:rsidRPr="00556688">
              <w:rPr>
                <w:sz w:val="24"/>
                <w:szCs w:val="24"/>
              </w:rPr>
              <w:t>hata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olması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durumunda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hataları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sebepleri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ile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birlikte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işlemleri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gerçekleştiren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personele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bildirimde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bulunmak</w:t>
            </w:r>
            <w:proofErr w:type="spellEnd"/>
            <w:r w:rsidRPr="0055668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37AC0" w:rsidRDefault="00837AC0" w:rsidP="00934621">
            <w:proofErr w:type="spellStart"/>
            <w:r>
              <w:t>Çalışanların</w:t>
            </w:r>
            <w:proofErr w:type="spellEnd"/>
            <w:r>
              <w:t xml:space="preserve"> </w:t>
            </w:r>
            <w:proofErr w:type="spellStart"/>
            <w:r w:rsidR="002047FC">
              <w:rPr>
                <w:sz w:val="24"/>
                <w:szCs w:val="24"/>
              </w:rPr>
              <w:t>ücret</w:t>
            </w:r>
            <w:proofErr w:type="spellEnd"/>
            <w:r w:rsidR="002047FC">
              <w:rPr>
                <w:sz w:val="24"/>
                <w:szCs w:val="24"/>
              </w:rPr>
              <w:t xml:space="preserve"> </w:t>
            </w:r>
            <w:proofErr w:type="spellStart"/>
            <w:r w:rsidR="002047FC">
              <w:rPr>
                <w:sz w:val="24"/>
                <w:szCs w:val="24"/>
              </w:rPr>
              <w:t>ve</w:t>
            </w:r>
            <w:proofErr w:type="spellEnd"/>
            <w:r w:rsidR="002047FC">
              <w:rPr>
                <w:sz w:val="24"/>
                <w:szCs w:val="24"/>
              </w:rPr>
              <w:t xml:space="preserve"> </w:t>
            </w:r>
            <w:proofErr w:type="spellStart"/>
            <w:r w:rsidR="002047FC">
              <w:rPr>
                <w:sz w:val="24"/>
                <w:szCs w:val="24"/>
              </w:rPr>
              <w:t>aylıklarının</w:t>
            </w:r>
            <w:proofErr w:type="spellEnd"/>
            <w:r w:rsidR="002047FC">
              <w:t xml:space="preserve"> </w:t>
            </w:r>
            <w:proofErr w:type="spellStart"/>
            <w:r w:rsidR="002047FC">
              <w:t>doğru</w:t>
            </w:r>
            <w:proofErr w:type="spellEnd"/>
            <w:r w:rsidR="002047FC">
              <w:t xml:space="preserve"> </w:t>
            </w:r>
            <w:proofErr w:type="spellStart"/>
            <w:r w:rsidR="002047FC">
              <w:t>yapılması</w:t>
            </w:r>
            <w:proofErr w:type="spellEnd"/>
            <w:r w:rsidR="002047FC">
              <w:t xml:space="preserve"> </w:t>
            </w:r>
            <w:proofErr w:type="spellStart"/>
            <w:r w:rsidR="002047FC">
              <w:t>sağlanmıştır</w:t>
            </w:r>
            <w:proofErr w:type="spellEnd"/>
            <w:r w:rsidR="002047FC">
              <w:t>.</w:t>
            </w:r>
          </w:p>
        </w:tc>
      </w:tr>
      <w:tr w:rsidR="00837AC0" w:rsidTr="00E410E2">
        <w:trPr>
          <w:trHeight w:hRule="exact" w:val="1281"/>
        </w:trPr>
        <w:tc>
          <w:tcPr>
            <w:tcW w:w="4253" w:type="dxa"/>
          </w:tcPr>
          <w:p w:rsidR="00837AC0" w:rsidRDefault="00837AC0" w:rsidP="0085496A">
            <w:pPr>
              <w:jc w:val="both"/>
            </w:pPr>
            <w:r>
              <w:lastRenderedPageBreak/>
              <w:t xml:space="preserve">13- </w:t>
            </w:r>
            <w:proofErr w:type="spellStart"/>
            <w:r>
              <w:t>Yollukların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hesaplanma</w:t>
            </w:r>
            <w:r w:rsidR="0085496A">
              <w:t>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837AC0" w:rsidRDefault="00837AC0"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837AC0" w:rsidRPr="00556688" w:rsidRDefault="00837AC0" w:rsidP="003727DA">
            <w:pPr>
              <w:jc w:val="both"/>
              <w:rPr>
                <w:sz w:val="24"/>
                <w:szCs w:val="24"/>
              </w:rPr>
            </w:pPr>
            <w:proofErr w:type="spellStart"/>
            <w:r w:rsidRPr="009D442B">
              <w:t>Yapılacak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yolluk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işlemlerinin</w:t>
            </w:r>
            <w:proofErr w:type="spellEnd"/>
            <w:r w:rsidRPr="009D442B">
              <w:t xml:space="preserve"> 6245 </w:t>
            </w:r>
            <w:proofErr w:type="spellStart"/>
            <w:r w:rsidRPr="009D442B">
              <w:t>sayılı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kanuna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uygunluğu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ve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hesaplamaların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kontrolü</w:t>
            </w:r>
            <w:proofErr w:type="spellEnd"/>
            <w:r w:rsidRPr="009D442B">
              <w:t xml:space="preserve"> </w:t>
            </w:r>
            <w:proofErr w:type="spellStart"/>
            <w:r w:rsidRPr="009D442B">
              <w:t>sağlanır</w:t>
            </w:r>
            <w:proofErr w:type="spellEnd"/>
            <w:r w:rsidRPr="009D442B">
              <w:t xml:space="preserve">. </w:t>
            </w:r>
          </w:p>
        </w:tc>
        <w:tc>
          <w:tcPr>
            <w:tcW w:w="3260" w:type="dxa"/>
          </w:tcPr>
          <w:p w:rsidR="00837AC0" w:rsidRDefault="00837AC0" w:rsidP="002047FC">
            <w:proofErr w:type="spellStart"/>
            <w:r>
              <w:t>Yollukların</w:t>
            </w:r>
            <w:proofErr w:type="spellEnd"/>
            <w:r>
              <w:t xml:space="preserve">  6245sayılı </w:t>
            </w:r>
            <w:proofErr w:type="spellStart"/>
            <w:r>
              <w:t>Harcırah</w:t>
            </w:r>
            <w:proofErr w:type="spellEnd"/>
            <w:r>
              <w:t xml:space="preserve"> </w:t>
            </w:r>
            <w:proofErr w:type="spellStart"/>
            <w:r>
              <w:t>Kanununa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yapılm</w:t>
            </w:r>
            <w:r w:rsidR="002047FC">
              <w:t>ıştır</w:t>
            </w:r>
            <w:proofErr w:type="spellEnd"/>
            <w:r w:rsidR="002047FC">
              <w:t>.</w:t>
            </w:r>
          </w:p>
        </w:tc>
      </w:tr>
      <w:tr w:rsidR="00E410E2" w:rsidTr="003727DA">
        <w:trPr>
          <w:trHeight w:hRule="exact" w:val="1555"/>
        </w:trPr>
        <w:tc>
          <w:tcPr>
            <w:tcW w:w="4253" w:type="dxa"/>
          </w:tcPr>
          <w:p w:rsidR="008E638E" w:rsidRDefault="00E410E2" w:rsidP="008E638E">
            <w:pPr>
              <w:rPr>
                <w:sz w:val="24"/>
                <w:szCs w:val="24"/>
              </w:rPr>
            </w:pPr>
            <w:r>
              <w:t>14-</w:t>
            </w:r>
            <w:r w:rsidR="008E638E" w:rsidRPr="00797D78">
              <w:rPr>
                <w:sz w:val="24"/>
                <w:szCs w:val="24"/>
              </w:rPr>
              <w:t xml:space="preserve"> </w:t>
            </w:r>
            <w:proofErr w:type="spellStart"/>
            <w:r w:rsidR="008E638E" w:rsidRPr="00797D78">
              <w:rPr>
                <w:sz w:val="24"/>
                <w:szCs w:val="24"/>
              </w:rPr>
              <w:t>Teknik</w:t>
            </w:r>
            <w:proofErr w:type="spellEnd"/>
            <w:r w:rsidR="008E638E" w:rsidRPr="00797D78">
              <w:rPr>
                <w:sz w:val="24"/>
                <w:szCs w:val="24"/>
              </w:rPr>
              <w:t xml:space="preserve"> alt </w:t>
            </w:r>
            <w:proofErr w:type="spellStart"/>
            <w:r w:rsidR="008E638E" w:rsidRPr="00797D78">
              <w:rPr>
                <w:sz w:val="24"/>
                <w:szCs w:val="24"/>
              </w:rPr>
              <w:t>yapıda</w:t>
            </w:r>
            <w:proofErr w:type="spellEnd"/>
            <w:r w:rsidR="008E638E" w:rsidRPr="00797D78">
              <w:rPr>
                <w:sz w:val="24"/>
                <w:szCs w:val="24"/>
              </w:rPr>
              <w:t xml:space="preserve"> </w:t>
            </w:r>
            <w:proofErr w:type="spellStart"/>
            <w:r w:rsidR="008E638E" w:rsidRPr="00797D78">
              <w:rPr>
                <w:sz w:val="24"/>
                <w:szCs w:val="24"/>
              </w:rPr>
              <w:t>oluşacak</w:t>
            </w:r>
            <w:proofErr w:type="spellEnd"/>
            <w:r w:rsidR="008E638E" w:rsidRPr="00797D78">
              <w:rPr>
                <w:sz w:val="24"/>
                <w:szCs w:val="24"/>
              </w:rPr>
              <w:t xml:space="preserve"> </w:t>
            </w:r>
            <w:proofErr w:type="spellStart"/>
            <w:r w:rsidR="008E638E" w:rsidRPr="00797D78">
              <w:rPr>
                <w:sz w:val="24"/>
                <w:szCs w:val="24"/>
              </w:rPr>
              <w:t>aksaklıklar</w:t>
            </w:r>
            <w:proofErr w:type="spellEnd"/>
          </w:p>
          <w:p w:rsidR="00E410E2" w:rsidRDefault="00E410E2" w:rsidP="008E638E">
            <w:pPr>
              <w:jc w:val="both"/>
            </w:pPr>
          </w:p>
        </w:tc>
        <w:tc>
          <w:tcPr>
            <w:tcW w:w="1134" w:type="dxa"/>
          </w:tcPr>
          <w:p w:rsidR="00E410E2" w:rsidRDefault="00E410E2" w:rsidP="00530E4B"/>
        </w:tc>
        <w:tc>
          <w:tcPr>
            <w:tcW w:w="3969" w:type="dxa"/>
          </w:tcPr>
          <w:p w:rsidR="00E410E2" w:rsidRPr="009D442B" w:rsidRDefault="003043E8" w:rsidP="003043E8"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Sözleşmesi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3043E8" w:rsidRDefault="003043E8" w:rsidP="003043E8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Aylık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olarak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Güvenlik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kameralarının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hizmet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alımı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yoluyla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periyodik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bakımının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yapılması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E410E2" w:rsidRDefault="00E410E2" w:rsidP="00934621"/>
        </w:tc>
      </w:tr>
      <w:tr w:rsidR="003043E8" w:rsidTr="003727DA">
        <w:trPr>
          <w:trHeight w:hRule="exact" w:val="863"/>
        </w:trPr>
        <w:tc>
          <w:tcPr>
            <w:tcW w:w="4253" w:type="dxa"/>
          </w:tcPr>
          <w:p w:rsidR="003043E8" w:rsidRDefault="0002179E" w:rsidP="008E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</w:t>
            </w:r>
            <w:r w:rsidR="003043E8">
              <w:rPr>
                <w:sz w:val="24"/>
                <w:szCs w:val="24"/>
              </w:rPr>
              <w:t xml:space="preserve">Teknik </w:t>
            </w:r>
            <w:proofErr w:type="spellStart"/>
            <w:r w:rsidR="003043E8">
              <w:rPr>
                <w:sz w:val="24"/>
                <w:szCs w:val="24"/>
              </w:rPr>
              <w:t>personel</w:t>
            </w:r>
            <w:proofErr w:type="spellEnd"/>
            <w:r w:rsidR="003043E8">
              <w:rPr>
                <w:sz w:val="24"/>
                <w:szCs w:val="24"/>
              </w:rPr>
              <w:t xml:space="preserve"> </w:t>
            </w:r>
            <w:proofErr w:type="spellStart"/>
            <w:r w:rsidR="003043E8">
              <w:rPr>
                <w:sz w:val="24"/>
                <w:szCs w:val="24"/>
              </w:rPr>
              <w:t>yokluğu</w:t>
            </w:r>
            <w:proofErr w:type="spellEnd"/>
            <w:r w:rsidR="003043E8">
              <w:rPr>
                <w:sz w:val="24"/>
                <w:szCs w:val="24"/>
              </w:rPr>
              <w:t>.</w:t>
            </w:r>
          </w:p>
          <w:p w:rsidR="003043E8" w:rsidRDefault="003043E8" w:rsidP="008E638E"/>
        </w:tc>
        <w:tc>
          <w:tcPr>
            <w:tcW w:w="1134" w:type="dxa"/>
          </w:tcPr>
          <w:p w:rsidR="003043E8" w:rsidRDefault="003043E8" w:rsidP="00530E4B"/>
        </w:tc>
        <w:tc>
          <w:tcPr>
            <w:tcW w:w="3969" w:type="dxa"/>
          </w:tcPr>
          <w:p w:rsidR="003043E8" w:rsidRDefault="003043E8" w:rsidP="003043E8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Teknik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personel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talep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edilir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3043E8" w:rsidRDefault="003043E8" w:rsidP="002962ED"/>
        </w:tc>
        <w:tc>
          <w:tcPr>
            <w:tcW w:w="3260" w:type="dxa"/>
          </w:tcPr>
          <w:p w:rsidR="003043E8" w:rsidRPr="009D442B" w:rsidRDefault="003043E8" w:rsidP="003043E8">
            <w:r>
              <w:t>-</w:t>
            </w:r>
          </w:p>
        </w:tc>
      </w:tr>
      <w:tr w:rsidR="003043E8" w:rsidTr="003727DA">
        <w:trPr>
          <w:trHeight w:hRule="exact" w:val="895"/>
        </w:trPr>
        <w:tc>
          <w:tcPr>
            <w:tcW w:w="4253" w:type="dxa"/>
          </w:tcPr>
          <w:p w:rsidR="003043E8" w:rsidRDefault="0002179E" w:rsidP="008E638E">
            <w:r>
              <w:rPr>
                <w:sz w:val="24"/>
                <w:szCs w:val="24"/>
              </w:rPr>
              <w:t>16-</w:t>
            </w:r>
            <w:r w:rsidR="003043E8">
              <w:rPr>
                <w:sz w:val="24"/>
                <w:szCs w:val="24"/>
              </w:rPr>
              <w:t xml:space="preserve">Yönergenin </w:t>
            </w:r>
            <w:proofErr w:type="spellStart"/>
            <w:r w:rsidR="003043E8">
              <w:rPr>
                <w:sz w:val="24"/>
                <w:szCs w:val="24"/>
              </w:rPr>
              <w:t>olmaması</w:t>
            </w:r>
            <w:proofErr w:type="spellEnd"/>
            <w:r w:rsidR="003043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43E8" w:rsidRDefault="003043E8" w:rsidP="00530E4B"/>
        </w:tc>
        <w:tc>
          <w:tcPr>
            <w:tcW w:w="3969" w:type="dxa"/>
          </w:tcPr>
          <w:p w:rsidR="003043E8" w:rsidRPr="009D442B" w:rsidRDefault="003043E8" w:rsidP="003043E8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Yönerge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çalışmasının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başlatılması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43E8" w:rsidRDefault="003043E8" w:rsidP="003043E8">
            <w:proofErr w:type="spellStart"/>
            <w:r>
              <w:t>Yönerge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personeli</w:t>
            </w:r>
            <w:proofErr w:type="spellEnd"/>
            <w:r>
              <w:t xml:space="preserve"> </w:t>
            </w:r>
            <w:proofErr w:type="spellStart"/>
            <w:r>
              <w:t>görevlendirilmesi</w:t>
            </w:r>
            <w:proofErr w:type="spellEnd"/>
            <w:r>
              <w:t>.</w:t>
            </w:r>
          </w:p>
        </w:tc>
      </w:tr>
      <w:tr w:rsidR="003043E8" w:rsidTr="003727DA">
        <w:trPr>
          <w:trHeight w:hRule="exact" w:val="1830"/>
        </w:trPr>
        <w:tc>
          <w:tcPr>
            <w:tcW w:w="4253" w:type="dxa"/>
          </w:tcPr>
          <w:p w:rsidR="003043E8" w:rsidRPr="003727DA" w:rsidRDefault="0002179E" w:rsidP="00372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</w:t>
            </w:r>
            <w:r w:rsidR="004C479A">
              <w:rPr>
                <w:sz w:val="24"/>
                <w:szCs w:val="24"/>
              </w:rPr>
              <w:t xml:space="preserve">Zamanında </w:t>
            </w:r>
            <w:proofErr w:type="spellStart"/>
            <w:r w:rsidR="004C479A">
              <w:rPr>
                <w:sz w:val="24"/>
                <w:szCs w:val="24"/>
              </w:rPr>
              <w:t>yapılmayan</w:t>
            </w:r>
            <w:proofErr w:type="spellEnd"/>
            <w:r w:rsidR="004C479A">
              <w:rPr>
                <w:sz w:val="24"/>
                <w:szCs w:val="24"/>
              </w:rPr>
              <w:t xml:space="preserve"> </w:t>
            </w:r>
            <w:proofErr w:type="spellStart"/>
            <w:r w:rsidR="004C479A">
              <w:rPr>
                <w:sz w:val="24"/>
                <w:szCs w:val="24"/>
              </w:rPr>
              <w:t>taleplere</w:t>
            </w:r>
            <w:proofErr w:type="spellEnd"/>
            <w:r w:rsidR="004C479A">
              <w:rPr>
                <w:sz w:val="24"/>
                <w:szCs w:val="24"/>
              </w:rPr>
              <w:t xml:space="preserve"> </w:t>
            </w:r>
            <w:proofErr w:type="spellStart"/>
            <w:r w:rsidR="004C479A">
              <w:rPr>
                <w:sz w:val="24"/>
                <w:szCs w:val="24"/>
              </w:rPr>
              <w:t>araç</w:t>
            </w:r>
            <w:proofErr w:type="spellEnd"/>
            <w:r w:rsidR="004C479A">
              <w:rPr>
                <w:sz w:val="24"/>
                <w:szCs w:val="24"/>
              </w:rPr>
              <w:t xml:space="preserve"> </w:t>
            </w:r>
            <w:proofErr w:type="spellStart"/>
            <w:r w:rsidR="004C479A">
              <w:rPr>
                <w:sz w:val="24"/>
                <w:szCs w:val="24"/>
              </w:rPr>
              <w:t>görevlendirilmesi</w:t>
            </w:r>
            <w:proofErr w:type="spellEnd"/>
            <w:r w:rsidR="004C479A">
              <w:rPr>
                <w:sz w:val="24"/>
                <w:szCs w:val="24"/>
              </w:rPr>
              <w:t xml:space="preserve"> </w:t>
            </w:r>
            <w:proofErr w:type="spellStart"/>
            <w:r w:rsidR="004C479A">
              <w:rPr>
                <w:sz w:val="24"/>
                <w:szCs w:val="24"/>
              </w:rPr>
              <w:t>yapılamayarak</w:t>
            </w:r>
            <w:proofErr w:type="spellEnd"/>
            <w:r w:rsidR="004C479A">
              <w:rPr>
                <w:sz w:val="24"/>
                <w:szCs w:val="24"/>
              </w:rPr>
              <w:t xml:space="preserve"> </w:t>
            </w:r>
            <w:proofErr w:type="spellStart"/>
            <w:r w:rsidR="004C479A">
              <w:rPr>
                <w:sz w:val="24"/>
                <w:szCs w:val="24"/>
              </w:rPr>
              <w:t>kamu</w:t>
            </w:r>
            <w:proofErr w:type="spellEnd"/>
            <w:r w:rsidR="004C479A">
              <w:rPr>
                <w:sz w:val="24"/>
                <w:szCs w:val="24"/>
              </w:rPr>
              <w:t xml:space="preserve"> </w:t>
            </w:r>
            <w:proofErr w:type="spellStart"/>
            <w:r w:rsidR="004C479A">
              <w:rPr>
                <w:sz w:val="24"/>
                <w:szCs w:val="24"/>
              </w:rPr>
              <w:t>hizmetinin</w:t>
            </w:r>
            <w:proofErr w:type="spellEnd"/>
            <w:r w:rsidR="004C479A">
              <w:rPr>
                <w:sz w:val="24"/>
                <w:szCs w:val="24"/>
              </w:rPr>
              <w:t xml:space="preserve"> </w:t>
            </w:r>
            <w:proofErr w:type="spellStart"/>
            <w:r w:rsidR="004C479A">
              <w:rPr>
                <w:sz w:val="24"/>
                <w:szCs w:val="24"/>
              </w:rPr>
              <w:t>aksaması</w:t>
            </w:r>
            <w:proofErr w:type="spellEnd"/>
            <w:r w:rsidR="004C479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43E8" w:rsidRDefault="003043E8" w:rsidP="00530E4B"/>
        </w:tc>
        <w:tc>
          <w:tcPr>
            <w:tcW w:w="3969" w:type="dxa"/>
          </w:tcPr>
          <w:p w:rsidR="003043E8" w:rsidRDefault="004C479A" w:rsidP="003043E8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85D72">
              <w:rPr>
                <w:rFonts w:eastAsia="Calibri"/>
                <w:sz w:val="24"/>
                <w:szCs w:val="24"/>
              </w:rPr>
              <w:t>Şehiriçi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görevlendirmelerde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en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az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7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gün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önce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şehirdışı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en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az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15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gün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önce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ilgili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birim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>fından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talep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edilmesi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gerektiği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birimlere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dağıtım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yazısı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yazılarak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bildirilir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43E8" w:rsidRDefault="004C479A" w:rsidP="003043E8">
            <w:proofErr w:type="spellStart"/>
            <w:r>
              <w:t>Birimlere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yazısı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</w:tr>
    </w:tbl>
    <w:p w:rsidR="00194DCB" w:rsidRDefault="00194DCB"/>
    <w:sectPr w:rsidR="00194DCB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E"/>
    <w:rsid w:val="0002179E"/>
    <w:rsid w:val="000278EC"/>
    <w:rsid w:val="00194DCB"/>
    <w:rsid w:val="002047FC"/>
    <w:rsid w:val="00221F91"/>
    <w:rsid w:val="002F246B"/>
    <w:rsid w:val="003043E8"/>
    <w:rsid w:val="003727DA"/>
    <w:rsid w:val="00392414"/>
    <w:rsid w:val="00493E9D"/>
    <w:rsid w:val="004C0F42"/>
    <w:rsid w:val="004C479A"/>
    <w:rsid w:val="00661C59"/>
    <w:rsid w:val="00837AC0"/>
    <w:rsid w:val="0085496A"/>
    <w:rsid w:val="00876FBE"/>
    <w:rsid w:val="008E638E"/>
    <w:rsid w:val="00934621"/>
    <w:rsid w:val="009F68BA"/>
    <w:rsid w:val="00C01B39"/>
    <w:rsid w:val="00CB7B60"/>
    <w:rsid w:val="00CD697C"/>
    <w:rsid w:val="00E410E2"/>
    <w:rsid w:val="00E70A20"/>
    <w:rsid w:val="00E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aidata1</cp:lastModifiedBy>
  <cp:revision>17</cp:revision>
  <cp:lastPrinted>2018-11-09T12:49:00Z</cp:lastPrinted>
  <dcterms:created xsi:type="dcterms:W3CDTF">2018-10-25T05:54:00Z</dcterms:created>
  <dcterms:modified xsi:type="dcterms:W3CDTF">2018-12-11T11:54:00Z</dcterms:modified>
</cp:coreProperties>
</file>