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C52F15" w:rsidRPr="00C52F15" w:rsidTr="001A48FE">
        <w:trPr>
          <w:trHeight w:hRule="exact" w:val="624"/>
        </w:trPr>
        <w:tc>
          <w:tcPr>
            <w:tcW w:w="10015" w:type="dxa"/>
            <w:gridSpan w:val="6"/>
          </w:tcPr>
          <w:p w:rsidR="00C52F15" w:rsidRPr="00C52F15" w:rsidRDefault="00C52F15" w:rsidP="00C52F15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C52F15" w:rsidRPr="00C52F15" w:rsidTr="001A48FE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C52F15" w:rsidRPr="00C52F15" w:rsidRDefault="00914479" w:rsidP="00DA6D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Yaklaşık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Maliyetin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6826"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 w:rsidR="00E268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6826">
              <w:rPr>
                <w:rFonts w:ascii="Times New Roman" w:eastAsia="Times New Roman" w:hAnsi="Times New Roman" w:cs="Times New Roman"/>
              </w:rPr>
              <w:t>hazırlanma</w:t>
            </w:r>
            <w:proofErr w:type="spellEnd"/>
            <w:r w:rsidR="00AC43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43CF"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 w:rsidR="00AC43C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:rsidTr="001A48FE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703C47" w:rsidP="00DA6D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Doğrudan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Temin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yoluyla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alınacak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Yaklaşık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Maliyet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Hesap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Cetvelinin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31A2"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 w:rsidR="004C31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31A2">
              <w:rPr>
                <w:rFonts w:ascii="Times New Roman" w:eastAsia="Times New Roman" w:hAnsi="Times New Roman" w:cs="Times New Roman"/>
              </w:rPr>
              <w:t>hazırlanma</w:t>
            </w:r>
            <w:proofErr w:type="spellEnd"/>
            <w:r w:rsidR="00AC43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43CF"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 w:rsidR="00AC43C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:rsidTr="004458BE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E26826" w:rsidP="004458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sebepler</w:t>
            </w:r>
            <w:r w:rsidR="004458BE">
              <w:rPr>
                <w:rFonts w:ascii="Times New Roman" w:eastAsia="Times New Roman" w:hAnsi="Times New Roman" w:cs="Times New Roman"/>
              </w:rPr>
              <w:t>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piyasa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araştırması</w:t>
            </w:r>
            <w:r w:rsidR="004458BE">
              <w:rPr>
                <w:rFonts w:ascii="Times New Roman" w:eastAsia="Times New Roman" w:hAnsi="Times New Roman" w:cs="Times New Roman"/>
              </w:rPr>
              <w:t>nın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sağlıklı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H</w:t>
            </w:r>
            <w:r w:rsidR="00914479">
              <w:rPr>
                <w:rFonts w:ascii="Times New Roman" w:eastAsia="Times New Roman" w:hAnsi="Times New Roman" w:cs="Times New Roman"/>
              </w:rPr>
              <w:t>esap</w:t>
            </w:r>
            <w:r w:rsidR="004458BE">
              <w:rPr>
                <w:rFonts w:ascii="Times New Roman" w:eastAsia="Times New Roman" w:hAnsi="Times New Roman" w:cs="Times New Roman"/>
              </w:rPr>
              <w:t>lama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araçlarından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kişilerden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rakamsal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hatalar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:rsidTr="001A48FE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7B7D80" w:rsidP="007B7D8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</w:t>
            </w:r>
            <w:r w:rsidR="008C1666">
              <w:rPr>
                <w:rFonts w:ascii="Times New Roman" w:eastAsia="Times New Roman" w:hAnsi="Times New Roman" w:cs="Times New Roman"/>
              </w:rPr>
              <w:t>aklaşık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maliyetinin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kurumu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açması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158A">
              <w:rPr>
                <w:rFonts w:ascii="Times New Roman" w:eastAsia="Times New Roman" w:hAnsi="Times New Roman" w:cs="Times New Roman"/>
              </w:rPr>
              <w:t>Ihtiyacin</w:t>
            </w:r>
            <w:proofErr w:type="spellEnd"/>
            <w:r w:rsidR="00AF15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158A">
              <w:rPr>
                <w:rFonts w:ascii="Times New Roman" w:eastAsia="Times New Roman" w:hAnsi="Times New Roman" w:cs="Times New Roman"/>
              </w:rPr>
              <w:t>temin</w:t>
            </w:r>
            <w:proofErr w:type="spellEnd"/>
            <w:r w:rsidR="00AF15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158A">
              <w:rPr>
                <w:rFonts w:ascii="Times New Roman" w:eastAsia="Times New Roman" w:hAnsi="Times New Roman" w:cs="Times New Roman"/>
              </w:rPr>
              <w:t>edilememesi</w:t>
            </w:r>
            <w:proofErr w:type="spellEnd"/>
            <w:r w:rsidR="00AF158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:rsidTr="001A48FE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2E5363" w:rsidP="002E53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maliyet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lgili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alma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görevlisi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tarafından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maliyetin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gözden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geçirilmesi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C52F15" w:rsidRPr="00C52F15" w:rsidTr="001A48FE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18535F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2F15" w:rsidRPr="00C52F15" w:rsidTr="00BF0D5E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52F15" w:rsidRPr="00C52F15" w:rsidTr="001A48FE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C52F15" w:rsidRPr="00C52F15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C52F15" w:rsidRPr="00C52F15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C52F15" w:rsidRPr="00C52F15" w:rsidTr="001A48FE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BF0D5E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52F15" w:rsidRPr="00C52F15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2F15" w:rsidRPr="00C52F15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C52F15" w:rsidRPr="00C52F15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C52F15" w:rsidRPr="00C52F15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8C1666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8C1666" w:rsidRPr="00C52F15" w:rsidRDefault="008C1666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C1666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C1666" w:rsidRPr="00C52F15" w:rsidRDefault="0017054E" w:rsidP="004A75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Kabul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Komisyonunun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mal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hizmeti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incelememe</w:t>
            </w:r>
            <w:proofErr w:type="spellEnd"/>
            <w:r w:rsidR="00FD6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D6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olasılığı</w:t>
            </w:r>
            <w:proofErr w:type="spellEnd"/>
            <w:r w:rsidR="00FD6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8C1666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17054E" w:rsidP="00BE7A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Doğrudan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Temin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yoluyla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9932F8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proofErr w:type="gramEnd"/>
            <w:r w:rsidR="009932F8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Kabul </w:t>
            </w:r>
            <w:proofErr w:type="spellStart"/>
            <w:r w:rsidR="009932F8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  <w:proofErr w:type="spellEnd"/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tarafından</w:t>
            </w:r>
            <w:proofErr w:type="spellEnd"/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</w:t>
            </w:r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</w:t>
            </w:r>
            <w:r w:rsidR="00BE7A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proofErr w:type="spellEnd"/>
            <w:r w:rsidR="00BE7A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8C1666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9932F8" w:rsidP="00C02FE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Komisyonunun</w:t>
            </w:r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bulunan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üyelerin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eksikliği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alındığı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zaman </w:t>
            </w:r>
            <w:proofErr w:type="spellStart"/>
            <w:r w:rsidR="00183EDB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</w:t>
            </w:r>
            <w:proofErr w:type="spellEnd"/>
            <w:r w:rsidR="00183EDB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83EDB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</w:t>
            </w:r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meyerek</w:t>
            </w:r>
            <w:proofErr w:type="spellEnd"/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getirmemesi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8C1666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9932F8" w:rsidP="00183E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getirmezse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malzeme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="008C1666">
              <w:rPr>
                <w:rFonts w:ascii="Times New Roman" w:eastAsia="Times New Roman" w:hAnsi="Times New Roman" w:cs="Times New Roman"/>
              </w:rPr>
              <w:t>urumu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3EDB">
              <w:rPr>
                <w:rFonts w:ascii="Times New Roman" w:eastAsia="Times New Roman" w:hAnsi="Times New Roman" w:cs="Times New Roman"/>
              </w:rPr>
              <w:t>uğratır</w:t>
            </w:r>
            <w:proofErr w:type="spellEnd"/>
            <w:r w:rsidR="00183E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666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18535F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Muayene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Kabul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alımla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bilgisi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666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1666" w:rsidRPr="00C52F15" w:rsidTr="0017054E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1666" w:rsidRPr="00C52F15" w:rsidRDefault="008C1666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8C1666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666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C1666" w:rsidRPr="00C52F15" w:rsidRDefault="008C1666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C1666" w:rsidRPr="00C52F15" w:rsidRDefault="008C1666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C1666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C1666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666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C1666" w:rsidRPr="00C52F15" w:rsidRDefault="008C1666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C1666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D26E15" w:rsidRDefault="00D26E15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A50BF" w:rsidRPr="00AA50BF" w:rsidRDefault="004C02A7" w:rsidP="00AA5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haleye</w:t>
            </w:r>
            <w:proofErr w:type="spellEnd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</w:t>
            </w:r>
            <w:proofErr w:type="spellEnd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dökümanların</w:t>
            </w:r>
            <w:proofErr w:type="spellEnd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içeriğinde</w:t>
            </w:r>
            <w:proofErr w:type="spellEnd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ilan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bilgilerinde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</w:t>
            </w:r>
            <w:proofErr w:type="spellEnd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</w:t>
            </w:r>
            <w:proofErr w:type="spellEnd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olasılığı</w:t>
            </w:r>
            <w:proofErr w:type="spellEnd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C02A7" w:rsidRPr="00AA50BF" w:rsidRDefault="004C02A7" w:rsidP="004C0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EKAP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üzerinden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hazırlanan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ihaleye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dökümanların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içeriğinde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ilan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bilgilerinde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70F54" w:rsidP="00BE7A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dökümanları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ilan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bilgilerini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satınalma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görevlisininin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7A0D">
              <w:rPr>
                <w:rFonts w:ascii="Times New Roman" w:eastAsia="Times New Roman" w:hAnsi="Times New Roman" w:cs="Times New Roman"/>
              </w:rPr>
              <w:t>mevzuat</w:t>
            </w:r>
            <w:proofErr w:type="spellEnd"/>
            <w:r w:rsid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dikkat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70F54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Kurumu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açtırması.İhalenin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70F54" w:rsidRPr="00BE7A0D" w:rsidRDefault="00170F54" w:rsidP="00F8081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dökümanlarını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ilanı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kişinin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gerekli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donanımının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A549D" w:rsidP="00F8081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A0D">
              <w:rPr>
                <w:rFonts w:ascii="Times New Roman" w:hAnsi="Times New Roman" w:cs="Times New Roman"/>
              </w:rPr>
              <w:t>İ</w:t>
            </w:r>
            <w:r w:rsidR="00BA4827" w:rsidRPr="00BE7A0D">
              <w:rPr>
                <w:rFonts w:ascii="Times New Roman" w:hAnsi="Times New Roman" w:cs="Times New Roman"/>
              </w:rPr>
              <w:t>hale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dokümanlarında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hAnsi="Times New Roman" w:cs="Times New Roman"/>
              </w:rPr>
              <w:t>ve</w:t>
            </w:r>
            <w:proofErr w:type="spellEnd"/>
            <w:r w:rsidR="00F80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hAnsi="Times New Roman" w:cs="Times New Roman"/>
              </w:rPr>
              <w:t>ilan</w:t>
            </w:r>
            <w:proofErr w:type="spellEnd"/>
            <w:r w:rsidR="00F80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hAnsi="Times New Roman" w:cs="Times New Roman"/>
              </w:rPr>
              <w:t>bilgilerinin</w:t>
            </w:r>
            <w:proofErr w:type="spellEnd"/>
            <w:r w:rsidR="00F80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düzeltilmesi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uygun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görülen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değişiklikler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EKAP’ta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zeyilname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düzenlenerek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düzeltilir</w:t>
            </w:r>
            <w:proofErr w:type="spellEnd"/>
            <w:r w:rsidR="00BE7A0D">
              <w:rPr>
                <w:rFonts w:ascii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750E2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1E4A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parasının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yatırılmama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1E4A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İhale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parasının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ilgili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birimce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zamanında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ödenmemesi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1D5A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parasını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yatıracak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ilanı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yayınlanmaz.</w:t>
            </w:r>
            <w:r w:rsidR="00C02FE0">
              <w:rPr>
                <w:rFonts w:ascii="Times New Roman" w:eastAsia="Times New Roman" w:hAnsi="Times New Roman" w:cs="Times New Roman"/>
              </w:rPr>
              <w:t>İhaleye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çıkılamaz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AA549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İlan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parasının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ilgili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birimce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kanuni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sürede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yatırılıp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yatırılmadığını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takip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etmek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4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A580F" w:rsidRPr="00F422EC" w:rsidRDefault="004A580F" w:rsidP="004A580F">
            <w:pPr>
              <w:jc w:val="both"/>
              <w:rPr>
                <w:sz w:val="24"/>
                <w:szCs w:val="24"/>
              </w:rPr>
            </w:pPr>
            <w:proofErr w:type="spellStart"/>
            <w:r w:rsidRPr="00F422EC">
              <w:rPr>
                <w:sz w:val="24"/>
                <w:szCs w:val="24"/>
              </w:rPr>
              <w:t>İhale</w:t>
            </w:r>
            <w:proofErr w:type="spellEnd"/>
            <w:r w:rsidRPr="00F422EC">
              <w:rPr>
                <w:sz w:val="24"/>
                <w:szCs w:val="24"/>
              </w:rPr>
              <w:t xml:space="preserve"> </w:t>
            </w:r>
            <w:proofErr w:type="spellStart"/>
            <w:r w:rsidRPr="00F422EC">
              <w:rPr>
                <w:sz w:val="24"/>
                <w:szCs w:val="24"/>
              </w:rPr>
              <w:t>komisyonu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  <w:proofErr w:type="spellStart"/>
            <w:r w:rsidR="00F51B90" w:rsidRPr="00F422EC">
              <w:rPr>
                <w:sz w:val="24"/>
                <w:szCs w:val="24"/>
              </w:rPr>
              <w:t>kararında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  <w:proofErr w:type="spellStart"/>
            <w:r w:rsidR="00F51B90" w:rsidRPr="00F422EC">
              <w:rPr>
                <w:sz w:val="24"/>
                <w:szCs w:val="24"/>
              </w:rPr>
              <w:t>hata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  <w:proofErr w:type="spellStart"/>
            <w:r w:rsidR="00F51B90" w:rsidRPr="00F422EC">
              <w:rPr>
                <w:sz w:val="24"/>
                <w:szCs w:val="24"/>
              </w:rPr>
              <w:t>olma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  <w:proofErr w:type="spellStart"/>
            <w:r w:rsidR="00F51B90" w:rsidRPr="00F422EC">
              <w:rPr>
                <w:sz w:val="24"/>
                <w:szCs w:val="24"/>
              </w:rPr>
              <w:t>ihtimali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51B90" w:rsidRDefault="00F51B90" w:rsidP="00F51B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İhale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komisyonunun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kararında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olması</w:t>
            </w:r>
            <w:proofErr w:type="spellEnd"/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EA20EE" w:rsidP="00C02FE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belgeleri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incelemesi.Teklif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mektundaki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aritmetik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hata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kontrolünde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yanlışlık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yapılması.Komisyon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üyelerinin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güncel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mevzuatı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etmemesi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7F59D6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yetkilisinin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onaylaması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istekliler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olması.</w:t>
            </w:r>
            <w:r w:rsidR="00383831">
              <w:rPr>
                <w:rFonts w:ascii="Times New Roman" w:eastAsia="Times New Roman" w:hAnsi="Times New Roman" w:cs="Times New Roman"/>
              </w:rPr>
              <w:t>Kamu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zararı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383831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Komisyonda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hizmetiçi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gönderilmesi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A20EE"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 w:rsidR="00EA20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A20EE">
              <w:rPr>
                <w:rFonts w:ascii="Times New Roman" w:eastAsia="Times New Roman" w:hAnsi="Times New Roman" w:cs="Times New Roman"/>
              </w:rPr>
              <w:t>Yetk</w:t>
            </w:r>
            <w:r w:rsidR="007F59D6">
              <w:rPr>
                <w:rFonts w:ascii="Times New Roman" w:eastAsia="Times New Roman" w:hAnsi="Times New Roman" w:cs="Times New Roman"/>
              </w:rPr>
              <w:t>ilisi</w:t>
            </w:r>
            <w:proofErr w:type="spellEnd"/>
            <w:r w:rsidR="007F59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59D6"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 w:rsidR="007F59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59D6">
              <w:rPr>
                <w:rFonts w:ascii="Times New Roman" w:eastAsia="Times New Roman" w:hAnsi="Times New Roman" w:cs="Times New Roman"/>
              </w:rPr>
              <w:t>kararın</w:t>
            </w:r>
            <w:proofErr w:type="spellEnd"/>
            <w:r w:rsidR="007F59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59D6">
              <w:rPr>
                <w:rFonts w:ascii="Times New Roman" w:eastAsia="Times New Roman" w:hAnsi="Times New Roman" w:cs="Times New Roman"/>
              </w:rPr>
              <w:t>onayla</w:t>
            </w:r>
            <w:r w:rsidR="00EA20EE">
              <w:rPr>
                <w:rFonts w:ascii="Times New Roman" w:eastAsia="Times New Roman" w:hAnsi="Times New Roman" w:cs="Times New Roman"/>
              </w:rPr>
              <w:t>maması</w:t>
            </w:r>
            <w:proofErr w:type="spellEnd"/>
            <w:r w:rsidR="00EA20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383831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Yetkilisi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onaylamaması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F422EC">
        <w:trPr>
          <w:trHeight w:hRule="exact" w:val="624"/>
        </w:trPr>
        <w:tc>
          <w:tcPr>
            <w:tcW w:w="1878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8137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2A0D05" w:rsidRDefault="007F59D6" w:rsidP="002A0D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Sözleşmenin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imzalanmaması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F422EC">
        <w:trPr>
          <w:trHeight w:hRule="exact" w:val="859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C37C7" w:rsidRDefault="006C37C7" w:rsidP="006C37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Sözleşmeye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firmanın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belgelerinde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olması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Sözleşmeye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gelmemesi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F422EC">
        <w:trPr>
          <w:trHeight w:hRule="exact" w:val="698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C0618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Firmadan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F422EC">
        <w:trPr>
          <w:trHeight w:hRule="exact" w:val="725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2A0D05" w:rsidP="001C06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Sözleşme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imzalanmaz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Bunun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uğrar.İhale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olur.</w:t>
            </w:r>
            <w:r w:rsidR="00E76A89">
              <w:rPr>
                <w:rFonts w:ascii="Times New Roman" w:eastAsia="Times New Roman" w:hAnsi="Times New Roman" w:cs="Times New Roman"/>
              </w:rPr>
              <w:t>Firmada</w:t>
            </w:r>
            <w:proofErr w:type="spellEnd"/>
            <w:r w:rsidR="00E76A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6A89">
              <w:rPr>
                <w:rFonts w:ascii="Times New Roman" w:eastAsia="Times New Roman" w:hAnsi="Times New Roman" w:cs="Times New Roman"/>
              </w:rPr>
              <w:t>yasaklı</w:t>
            </w:r>
            <w:proofErr w:type="spellEnd"/>
            <w:r w:rsidR="00E76A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6A89">
              <w:rPr>
                <w:rFonts w:ascii="Times New Roman" w:eastAsia="Times New Roman" w:hAnsi="Times New Roman" w:cs="Times New Roman"/>
              </w:rPr>
              <w:t>olur</w:t>
            </w:r>
            <w:proofErr w:type="spellEnd"/>
            <w:r w:rsidR="00E76A8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:rsidTr="00F422EC">
        <w:trPr>
          <w:trHeight w:hRule="exact" w:val="1146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232E1" w:rsidRDefault="002A0D05" w:rsidP="006232E1">
            <w:pPr>
              <w:ind w:left="-108" w:firstLine="108"/>
              <w:jc w:val="both"/>
              <w:rPr>
                <w:sz w:val="24"/>
                <w:szCs w:val="24"/>
              </w:rPr>
            </w:pPr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edilen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firmanın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belgelerinde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hata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olması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veya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eksik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olması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</w:t>
            </w:r>
            <w:r w:rsidR="007F59D6">
              <w:rPr>
                <w:sz w:val="24"/>
                <w:szCs w:val="24"/>
              </w:rPr>
              <w:t>d</w:t>
            </w:r>
            <w:r w:rsidRPr="003A6AF9">
              <w:rPr>
                <w:sz w:val="24"/>
                <w:szCs w:val="24"/>
              </w:rPr>
              <w:t>urumunda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ilgili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satın</w:t>
            </w:r>
            <w:proofErr w:type="spellEnd"/>
            <w:r w:rsidRPr="003A6AF9">
              <w:rPr>
                <w:sz w:val="24"/>
                <w:szCs w:val="24"/>
              </w:rPr>
              <w:t xml:space="preserve"> alma </w:t>
            </w:r>
            <w:proofErr w:type="spellStart"/>
            <w:r w:rsidRPr="003A6AF9">
              <w:rPr>
                <w:sz w:val="24"/>
                <w:szCs w:val="24"/>
              </w:rPr>
              <w:t>görevlisi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tarafından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E76A89">
              <w:rPr>
                <w:sz w:val="24"/>
                <w:szCs w:val="24"/>
              </w:rPr>
              <w:t>süresi</w:t>
            </w:r>
            <w:proofErr w:type="spellEnd"/>
            <w:r w:rsidR="00E76A89">
              <w:rPr>
                <w:sz w:val="24"/>
                <w:szCs w:val="24"/>
              </w:rPr>
              <w:t xml:space="preserve"> </w:t>
            </w:r>
            <w:proofErr w:type="spellStart"/>
            <w:r w:rsidR="00E76A89">
              <w:rPr>
                <w:sz w:val="24"/>
                <w:szCs w:val="24"/>
              </w:rPr>
              <w:t>içinde</w:t>
            </w:r>
            <w:proofErr w:type="spellEnd"/>
            <w:r w:rsidR="00E76A8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hatalı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düzelttirilir</w:t>
            </w:r>
            <w:proofErr w:type="spellEnd"/>
            <w:r w:rsidRPr="003A6AF9">
              <w:rPr>
                <w:sz w:val="24"/>
                <w:szCs w:val="24"/>
              </w:rPr>
              <w:t xml:space="preserve">, </w:t>
            </w:r>
            <w:proofErr w:type="spellStart"/>
            <w:r w:rsidRPr="003A6AF9">
              <w:rPr>
                <w:sz w:val="24"/>
                <w:szCs w:val="24"/>
              </w:rPr>
              <w:t>eksik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o</w:t>
            </w:r>
            <w:r w:rsidR="00F422EC">
              <w:rPr>
                <w:sz w:val="24"/>
                <w:szCs w:val="24"/>
              </w:rPr>
              <w:t>o</w:t>
            </w:r>
            <w:r w:rsidRPr="003A6AF9">
              <w:rPr>
                <w:sz w:val="24"/>
                <w:szCs w:val="24"/>
              </w:rPr>
              <w:t>lan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tamamlattırılır</w:t>
            </w:r>
            <w:proofErr w:type="spellEnd"/>
            <w:r w:rsidRPr="003A6AF9">
              <w:rPr>
                <w:sz w:val="24"/>
                <w:szCs w:val="24"/>
              </w:rPr>
              <w:t>.</w:t>
            </w:r>
            <w:r w:rsidR="006232E1"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6232E1" w:rsidRPr="003A6AF9">
              <w:rPr>
                <w:sz w:val="24"/>
                <w:szCs w:val="24"/>
              </w:rPr>
              <w:t>Sözleşmeye</w:t>
            </w:r>
            <w:proofErr w:type="spellEnd"/>
            <w:r w:rsidR="006232E1"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6232E1" w:rsidRPr="003A6AF9">
              <w:rPr>
                <w:sz w:val="24"/>
                <w:szCs w:val="24"/>
              </w:rPr>
              <w:t>gelmeme</w:t>
            </w:r>
            <w:r w:rsidR="00E76A89">
              <w:rPr>
                <w:sz w:val="24"/>
                <w:szCs w:val="24"/>
              </w:rPr>
              <w:t>si</w:t>
            </w:r>
            <w:proofErr w:type="spellEnd"/>
            <w:r w:rsidR="00E76A89">
              <w:rPr>
                <w:sz w:val="24"/>
                <w:szCs w:val="24"/>
              </w:rPr>
              <w:t xml:space="preserve"> </w:t>
            </w:r>
            <w:proofErr w:type="spellStart"/>
            <w:r w:rsidR="00E76A89">
              <w:rPr>
                <w:sz w:val="24"/>
                <w:szCs w:val="24"/>
              </w:rPr>
              <w:t>durumunda</w:t>
            </w:r>
            <w:proofErr w:type="spellEnd"/>
            <w:r w:rsidR="00E76A89">
              <w:rPr>
                <w:sz w:val="24"/>
                <w:szCs w:val="24"/>
              </w:rPr>
              <w:t xml:space="preserve"> 22.</w:t>
            </w:r>
            <w:r w:rsidR="00391AE2">
              <w:rPr>
                <w:sz w:val="24"/>
                <w:szCs w:val="24"/>
              </w:rPr>
              <w:t xml:space="preserve">En </w:t>
            </w:r>
            <w:proofErr w:type="spellStart"/>
            <w:r w:rsidR="00391AE2">
              <w:rPr>
                <w:sz w:val="24"/>
                <w:szCs w:val="24"/>
              </w:rPr>
              <w:t>avantajlıya</w:t>
            </w:r>
            <w:proofErr w:type="spellEnd"/>
            <w:r w:rsidR="00391AE2">
              <w:rPr>
                <w:sz w:val="24"/>
                <w:szCs w:val="24"/>
              </w:rPr>
              <w:t xml:space="preserve"> </w:t>
            </w:r>
            <w:proofErr w:type="spellStart"/>
            <w:r w:rsidR="007F59D6">
              <w:rPr>
                <w:sz w:val="24"/>
                <w:szCs w:val="24"/>
              </w:rPr>
              <w:t>S</w:t>
            </w:r>
            <w:r w:rsidR="006232E1" w:rsidRPr="003A6AF9">
              <w:rPr>
                <w:sz w:val="24"/>
                <w:szCs w:val="24"/>
              </w:rPr>
              <w:t>özleşmeye</w:t>
            </w:r>
            <w:proofErr w:type="spellEnd"/>
            <w:r w:rsidR="006232E1"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6232E1" w:rsidRPr="003A6AF9">
              <w:rPr>
                <w:sz w:val="24"/>
                <w:szCs w:val="24"/>
              </w:rPr>
              <w:t>Davet</w:t>
            </w:r>
            <w:proofErr w:type="spellEnd"/>
            <w:r w:rsidR="006232E1"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6232E1" w:rsidRPr="003A6AF9">
              <w:rPr>
                <w:sz w:val="24"/>
                <w:szCs w:val="24"/>
              </w:rPr>
              <w:t>Mektubu</w:t>
            </w:r>
            <w:proofErr w:type="spellEnd"/>
            <w:r w:rsidR="006232E1"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6232E1" w:rsidRPr="003A6AF9">
              <w:rPr>
                <w:sz w:val="24"/>
                <w:szCs w:val="24"/>
              </w:rPr>
              <w:t>gönderilir</w:t>
            </w:r>
            <w:proofErr w:type="spellEnd"/>
            <w:r w:rsidR="006232E1" w:rsidRPr="003A6AF9">
              <w:rPr>
                <w:sz w:val="24"/>
                <w:szCs w:val="24"/>
              </w:rPr>
              <w:t>.</w:t>
            </w:r>
          </w:p>
          <w:p w:rsidR="00E76A89" w:rsidRPr="003A6AF9" w:rsidRDefault="00E76A89" w:rsidP="006232E1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F422EC">
        <w:trPr>
          <w:trHeight w:hRule="exact" w:val="1003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F422EC">
        <w:trPr>
          <w:trHeight w:hRule="exact" w:val="1569"/>
        </w:trPr>
        <w:tc>
          <w:tcPr>
            <w:tcW w:w="1878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711C2C">
            <w:pPr>
              <w:spacing w:before="162" w:line="288" w:lineRule="auto"/>
              <w:ind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F422EC">
        <w:trPr>
          <w:trHeight w:hRule="exact" w:val="590"/>
        </w:trPr>
        <w:tc>
          <w:tcPr>
            <w:tcW w:w="1878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21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:rsidTr="00F422EC">
        <w:trPr>
          <w:trHeight w:hRule="exact" w:val="802"/>
        </w:trPr>
        <w:tc>
          <w:tcPr>
            <w:tcW w:w="1878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E937CE" w:rsidRDefault="00E937CE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E937CE" w:rsidRPr="00C52F15" w:rsidTr="009334A6">
        <w:trPr>
          <w:trHeight w:hRule="exact" w:val="624"/>
        </w:trPr>
        <w:tc>
          <w:tcPr>
            <w:tcW w:w="10015" w:type="dxa"/>
            <w:gridSpan w:val="6"/>
          </w:tcPr>
          <w:p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:rsidTr="009334A6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E937C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Yollukların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hesaplanma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:rsidTr="009334A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Çalışanlara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verilecek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yolluklarda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eksik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fazla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:rsidTr="009334A6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Yolluk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işlemi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D289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9D28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D2890"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 w:rsidR="009D28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eksikliğinden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doğan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:rsidTr="009334A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D442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Çalışanlara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yolluğun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fazla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söz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konusu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olmaktadır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:rsidTr="009334A6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D28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Yapılacak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yolluk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işlemlerinin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6245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sayılı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kanuna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uygunluğu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hesaplamaların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kontrolü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sağlanır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937CE" w:rsidRPr="00C52F15" w:rsidTr="009334A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</w:p>
        </w:tc>
      </w:tr>
      <w:tr w:rsidR="00E937CE" w:rsidRPr="00C52F15" w:rsidTr="009334A6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:rsidTr="009334A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E937CE" w:rsidRPr="00C52F15" w:rsidTr="009334A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:rsidTr="009334A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:rsidTr="009334A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E937CE" w:rsidRPr="00C52F15" w:rsidTr="009334A6">
        <w:trPr>
          <w:trHeight w:hRule="exact" w:val="624"/>
        </w:trPr>
        <w:tc>
          <w:tcPr>
            <w:tcW w:w="10015" w:type="dxa"/>
            <w:gridSpan w:val="6"/>
          </w:tcPr>
          <w:p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22223733"/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:rsidTr="009334A6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EF1611" w:rsidRDefault="00FB734D" w:rsidP="00EF161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Katkı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60E75">
              <w:rPr>
                <w:rFonts w:eastAsia="Calibri"/>
                <w:sz w:val="24"/>
                <w:szCs w:val="24"/>
              </w:rPr>
              <w:t>P</w:t>
            </w:r>
            <w:r>
              <w:rPr>
                <w:rFonts w:eastAsia="Calibri"/>
                <w:sz w:val="24"/>
                <w:szCs w:val="24"/>
              </w:rPr>
              <w:t>ayı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60E75">
              <w:rPr>
                <w:rFonts w:eastAsia="Calibri"/>
                <w:sz w:val="24"/>
                <w:szCs w:val="24"/>
              </w:rPr>
              <w:t>Ö</w:t>
            </w:r>
            <w:r>
              <w:rPr>
                <w:rFonts w:eastAsia="Calibri"/>
                <w:sz w:val="24"/>
                <w:szCs w:val="24"/>
              </w:rPr>
              <w:t>demelerinde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Hata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60E75">
              <w:rPr>
                <w:rFonts w:eastAsia="Calibri"/>
                <w:sz w:val="24"/>
                <w:szCs w:val="24"/>
              </w:rPr>
              <w:t>Olasılığı</w:t>
            </w:r>
            <w:proofErr w:type="spellEnd"/>
          </w:p>
          <w:p w:rsidR="00E937CE" w:rsidRPr="00C52F15" w:rsidRDefault="00E937CE" w:rsidP="009334A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FB734D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Ödenecek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Payının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:rsidTr="009334A6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FB734D" w:rsidP="009334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yapması</w:t>
            </w:r>
            <w:proofErr w:type="spellEnd"/>
          </w:p>
        </w:tc>
      </w:tr>
      <w:tr w:rsidR="00E937CE" w:rsidRPr="00C52F15" w:rsidTr="009334A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FB734D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Yasal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kesintilerin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fazla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:rsidTr="009334A6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2C0D" w:rsidRDefault="00FB734D" w:rsidP="00B12C0D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İlgili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yasal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kesintilerin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doğru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hesapla</w:t>
            </w:r>
            <w:r w:rsidR="00060E75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>ması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60E75">
              <w:rPr>
                <w:rFonts w:eastAsia="Calibri"/>
                <w:sz w:val="24"/>
                <w:szCs w:val="24"/>
              </w:rPr>
              <w:t>ile</w:t>
            </w:r>
            <w:proofErr w:type="spellEnd"/>
            <w:r w:rsidR="00060E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60E75">
              <w:rPr>
                <w:rFonts w:eastAsia="Calibri"/>
                <w:sz w:val="24"/>
                <w:szCs w:val="24"/>
              </w:rPr>
              <w:t>eksik</w:t>
            </w:r>
            <w:proofErr w:type="spellEnd"/>
            <w:r w:rsidR="00060E75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="00060E75">
              <w:rPr>
                <w:rFonts w:eastAsia="Calibri"/>
                <w:sz w:val="24"/>
                <w:szCs w:val="24"/>
              </w:rPr>
              <w:t>fazla</w:t>
            </w:r>
            <w:proofErr w:type="spellEnd"/>
            <w:r w:rsidR="00060E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60E75">
              <w:rPr>
                <w:rFonts w:eastAsia="Calibri"/>
                <w:sz w:val="24"/>
                <w:szCs w:val="24"/>
              </w:rPr>
              <w:t>ödemeye</w:t>
            </w:r>
            <w:proofErr w:type="spellEnd"/>
            <w:r w:rsidR="00060E75">
              <w:rPr>
                <w:rFonts w:eastAsia="Calibri"/>
                <w:sz w:val="24"/>
                <w:szCs w:val="24"/>
              </w:rPr>
              <w:t xml:space="preserve"> mahal </w:t>
            </w:r>
            <w:proofErr w:type="spellStart"/>
            <w:r w:rsidR="00060E75">
              <w:rPr>
                <w:rFonts w:eastAsia="Calibri"/>
                <w:sz w:val="24"/>
                <w:szCs w:val="24"/>
              </w:rPr>
              <w:t>verilmemesi</w:t>
            </w:r>
            <w:proofErr w:type="spellEnd"/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:rsidTr="009334A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E937CE" w:rsidRPr="00C52F15" w:rsidTr="009334A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:rsidTr="009334A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:rsidTr="009334A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bookmarkEnd w:id="0"/>
    </w:tbl>
    <w:p w:rsidR="00060E75" w:rsidRDefault="00060E75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060E75" w:rsidRPr="00C52F15" w:rsidTr="00664367">
        <w:trPr>
          <w:trHeight w:hRule="exact" w:val="624"/>
        </w:trPr>
        <w:tc>
          <w:tcPr>
            <w:tcW w:w="10015" w:type="dxa"/>
            <w:gridSpan w:val="6"/>
          </w:tcPr>
          <w:p w:rsidR="00060E75" w:rsidRPr="00C52F15" w:rsidRDefault="00060E75" w:rsidP="0066436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lastRenderedPageBreak/>
              <w:br w:type="page"/>
            </w: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060E75" w:rsidRPr="00C52F15" w:rsidTr="0066436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060E75" w:rsidRPr="00C52F15" w:rsidRDefault="00060E75" w:rsidP="0066436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060E75" w:rsidRDefault="00060E75" w:rsidP="00664367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Fatura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Kesiminde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Hata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Yapılması</w:t>
            </w:r>
            <w:proofErr w:type="spellEnd"/>
          </w:p>
          <w:p w:rsidR="00060E75" w:rsidRPr="00C52F15" w:rsidRDefault="00060E75" w:rsidP="006643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0E75" w:rsidRPr="00C52F15" w:rsidTr="0066436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E75" w:rsidRPr="00C52F15" w:rsidRDefault="00060E75" w:rsidP="0066436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Hesaba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yatırılan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miktarla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kesilen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miktarın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uyumlu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/KDV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hesaplamasının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0E75" w:rsidRPr="00C52F15" w:rsidTr="00664367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E75" w:rsidRPr="00C52F15" w:rsidRDefault="00060E75" w:rsidP="0066436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E75" w:rsidRPr="00C52F15" w:rsidRDefault="00060E75" w:rsidP="0066436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yapması</w:t>
            </w:r>
            <w:proofErr w:type="spellEnd"/>
          </w:p>
        </w:tc>
      </w:tr>
      <w:tr w:rsidR="00060E75" w:rsidRPr="00C52F15" w:rsidTr="0066436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E75" w:rsidRPr="00C52F15" w:rsidRDefault="00060E75" w:rsidP="0066436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060E75" w:rsidRPr="00C52F15" w:rsidRDefault="00060E75" w:rsidP="0066436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nedeniyle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muhasebe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kayıtlarının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uyuşmaması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0E75" w:rsidRPr="00C52F15" w:rsidTr="0066436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E75" w:rsidRPr="00C52F15" w:rsidRDefault="00060E75" w:rsidP="0066436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E75" w:rsidRDefault="00060E75" w:rsidP="0066436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Fatura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kesiminde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banka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dekontunun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esas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alınması</w:t>
            </w:r>
            <w:proofErr w:type="spellEnd"/>
          </w:p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0E75" w:rsidRPr="00C52F15" w:rsidTr="0066436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E75" w:rsidRPr="00C52F15" w:rsidRDefault="00060E75" w:rsidP="0066436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060E75" w:rsidRPr="00C52F15" w:rsidRDefault="00060E75" w:rsidP="0066436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Dekontu</w:t>
            </w:r>
            <w:proofErr w:type="spellEnd"/>
          </w:p>
        </w:tc>
      </w:tr>
      <w:tr w:rsidR="00060E75" w:rsidRPr="00C52F15" w:rsidTr="00664367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0E75" w:rsidRPr="00C52F15" w:rsidRDefault="00060E75" w:rsidP="0066436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E75" w:rsidRPr="00C52F15" w:rsidRDefault="00060E75" w:rsidP="00664367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60E75" w:rsidRPr="00C52F15" w:rsidRDefault="00060E75" w:rsidP="0066436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0E75" w:rsidRPr="00C52F15" w:rsidRDefault="00060E75" w:rsidP="0066436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E75" w:rsidRPr="00C52F15" w:rsidTr="0066436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060E75" w:rsidRPr="00C52F15" w:rsidRDefault="00060E75" w:rsidP="0066436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060E75" w:rsidRPr="00C52F15" w:rsidRDefault="00060E75" w:rsidP="0066436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60E75" w:rsidRPr="00C52F15" w:rsidRDefault="00060E75" w:rsidP="0066436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060E75" w:rsidRPr="00C52F15" w:rsidRDefault="00060E75" w:rsidP="0066436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060E75" w:rsidRPr="00C52F15" w:rsidTr="0066436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060E75" w:rsidRPr="00C52F15" w:rsidRDefault="00060E75" w:rsidP="0066436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060E75" w:rsidRPr="00C52F15" w:rsidRDefault="00060E75" w:rsidP="0066436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60E75" w:rsidRPr="00C52F15" w:rsidTr="0066436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060E75" w:rsidRPr="00C52F15" w:rsidRDefault="00060E75" w:rsidP="006643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0E75" w:rsidRPr="00C52F15" w:rsidTr="0066436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060E75" w:rsidRPr="00C52F15" w:rsidRDefault="00060E75" w:rsidP="0066436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060E75" w:rsidRPr="00C52F15" w:rsidTr="0066436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060E75" w:rsidRPr="00C52F15" w:rsidRDefault="00060E75" w:rsidP="0066436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060E75" w:rsidRDefault="00060E75"/>
    <w:p w:rsidR="00EF1611" w:rsidRDefault="00EF1611">
      <w:bookmarkStart w:id="1" w:name="_GoBack"/>
      <w:bookmarkEnd w:id="1"/>
    </w:p>
    <w:sectPr w:rsidR="00EF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16" w:rsidRDefault="00135A16" w:rsidP="00473E2B">
      <w:pPr>
        <w:spacing w:after="0" w:line="240" w:lineRule="auto"/>
      </w:pPr>
      <w:r>
        <w:separator/>
      </w:r>
    </w:p>
  </w:endnote>
  <w:endnote w:type="continuationSeparator" w:id="0">
    <w:p w:rsidR="00135A16" w:rsidRDefault="00135A16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16" w:rsidRDefault="00135A16" w:rsidP="00473E2B">
      <w:pPr>
        <w:spacing w:after="0" w:line="240" w:lineRule="auto"/>
      </w:pPr>
      <w:r>
        <w:separator/>
      </w:r>
    </w:p>
  </w:footnote>
  <w:footnote w:type="continuationSeparator" w:id="0">
    <w:p w:rsidR="00135A16" w:rsidRDefault="00135A16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8B5"/>
    <w:rsid w:val="00060E75"/>
    <w:rsid w:val="00081E07"/>
    <w:rsid w:val="000865C5"/>
    <w:rsid w:val="00101770"/>
    <w:rsid w:val="00135A16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224483"/>
    <w:rsid w:val="00226E64"/>
    <w:rsid w:val="00241540"/>
    <w:rsid w:val="00246A85"/>
    <w:rsid w:val="00281028"/>
    <w:rsid w:val="002840C6"/>
    <w:rsid w:val="002A0D05"/>
    <w:rsid w:val="002C03FB"/>
    <w:rsid w:val="002C54F0"/>
    <w:rsid w:val="002D6DB0"/>
    <w:rsid w:val="002E02A6"/>
    <w:rsid w:val="002E5363"/>
    <w:rsid w:val="002F2A8D"/>
    <w:rsid w:val="003078F6"/>
    <w:rsid w:val="00334E52"/>
    <w:rsid w:val="00383831"/>
    <w:rsid w:val="00391AE2"/>
    <w:rsid w:val="00397925"/>
    <w:rsid w:val="003A01AE"/>
    <w:rsid w:val="003A0A61"/>
    <w:rsid w:val="003A39D6"/>
    <w:rsid w:val="003B0CC3"/>
    <w:rsid w:val="0044386B"/>
    <w:rsid w:val="004458BE"/>
    <w:rsid w:val="004523F3"/>
    <w:rsid w:val="00473E2B"/>
    <w:rsid w:val="004A481A"/>
    <w:rsid w:val="004A580F"/>
    <w:rsid w:val="004A75AF"/>
    <w:rsid w:val="004C02A7"/>
    <w:rsid w:val="004C31A2"/>
    <w:rsid w:val="0053764A"/>
    <w:rsid w:val="005835DF"/>
    <w:rsid w:val="005C1FA2"/>
    <w:rsid w:val="00621734"/>
    <w:rsid w:val="006232E1"/>
    <w:rsid w:val="00637DAF"/>
    <w:rsid w:val="00666C05"/>
    <w:rsid w:val="006C37C7"/>
    <w:rsid w:val="006D1556"/>
    <w:rsid w:val="00703C47"/>
    <w:rsid w:val="00711C2C"/>
    <w:rsid w:val="00736FD4"/>
    <w:rsid w:val="00761F0D"/>
    <w:rsid w:val="007908B5"/>
    <w:rsid w:val="007A5D02"/>
    <w:rsid w:val="007B7D80"/>
    <w:rsid w:val="007C7FD7"/>
    <w:rsid w:val="007F59D6"/>
    <w:rsid w:val="008077DF"/>
    <w:rsid w:val="00861092"/>
    <w:rsid w:val="00883D74"/>
    <w:rsid w:val="008C1666"/>
    <w:rsid w:val="009111C9"/>
    <w:rsid w:val="00914479"/>
    <w:rsid w:val="009334A6"/>
    <w:rsid w:val="0096120C"/>
    <w:rsid w:val="009932F8"/>
    <w:rsid w:val="009D2890"/>
    <w:rsid w:val="009D442B"/>
    <w:rsid w:val="009F0322"/>
    <w:rsid w:val="00A01D5A"/>
    <w:rsid w:val="00A20EED"/>
    <w:rsid w:val="00A54FD4"/>
    <w:rsid w:val="00A750E2"/>
    <w:rsid w:val="00AA50BF"/>
    <w:rsid w:val="00AA549D"/>
    <w:rsid w:val="00AB4FA8"/>
    <w:rsid w:val="00AC43CF"/>
    <w:rsid w:val="00AF158A"/>
    <w:rsid w:val="00B12C0D"/>
    <w:rsid w:val="00B45ED2"/>
    <w:rsid w:val="00B753E9"/>
    <w:rsid w:val="00BA4827"/>
    <w:rsid w:val="00BA6337"/>
    <w:rsid w:val="00BD3383"/>
    <w:rsid w:val="00BE7A0D"/>
    <w:rsid w:val="00BF0D5E"/>
    <w:rsid w:val="00C02FE0"/>
    <w:rsid w:val="00C52F15"/>
    <w:rsid w:val="00CA327B"/>
    <w:rsid w:val="00CC106A"/>
    <w:rsid w:val="00D26E15"/>
    <w:rsid w:val="00D34B6F"/>
    <w:rsid w:val="00D93F4E"/>
    <w:rsid w:val="00DA6DE3"/>
    <w:rsid w:val="00DC5C7B"/>
    <w:rsid w:val="00E07577"/>
    <w:rsid w:val="00E26826"/>
    <w:rsid w:val="00E4009A"/>
    <w:rsid w:val="00E76A89"/>
    <w:rsid w:val="00E84B1C"/>
    <w:rsid w:val="00E937CE"/>
    <w:rsid w:val="00EA20EE"/>
    <w:rsid w:val="00EF1611"/>
    <w:rsid w:val="00EF6E4C"/>
    <w:rsid w:val="00F369ED"/>
    <w:rsid w:val="00F422EC"/>
    <w:rsid w:val="00F51B90"/>
    <w:rsid w:val="00F53E15"/>
    <w:rsid w:val="00F56CE3"/>
    <w:rsid w:val="00F8081B"/>
    <w:rsid w:val="00FB734D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C423"/>
  <w15:docId w15:val="{D3BB8052-55D6-42CE-8049-69D7D7BE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Süleyman Hilmi Filiz</cp:lastModifiedBy>
  <cp:revision>19</cp:revision>
  <cp:lastPrinted>2018-10-11T06:40:00Z</cp:lastPrinted>
  <dcterms:created xsi:type="dcterms:W3CDTF">2018-10-10T11:08:00Z</dcterms:created>
  <dcterms:modified xsi:type="dcterms:W3CDTF">2019-10-17T14:02:00Z</dcterms:modified>
</cp:coreProperties>
</file>