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FB8A" w14:textId="0845B1EA" w:rsidR="004E4F0C" w:rsidRDefault="005E24B3">
      <w:pPr>
        <w:spacing w:before="58"/>
        <w:ind w:left="1573" w:right="157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</w:t>
      </w:r>
      <w:r w:rsidR="001D4902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YI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FAALİYETL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Rİ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AKADEMİK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TEŞVİK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NEĞİ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Ş</w:t>
      </w:r>
      <w:r>
        <w:rPr>
          <w:rFonts w:ascii="Calibri" w:eastAsia="Calibri" w:hAnsi="Calibri" w:cs="Calibri"/>
          <w:b/>
          <w:w w:val="99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w w:val="99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ARI</w:t>
      </w:r>
    </w:p>
    <w:p w14:paraId="6CEDC834" w14:textId="77777777" w:rsidR="004E4F0C" w:rsidRDefault="004E4F0C">
      <w:pPr>
        <w:spacing w:line="200" w:lineRule="exact"/>
      </w:pPr>
    </w:p>
    <w:p w14:paraId="79266261" w14:textId="77777777" w:rsidR="004E4F0C" w:rsidRDefault="004E4F0C">
      <w:pPr>
        <w:spacing w:line="200" w:lineRule="exact"/>
      </w:pPr>
    </w:p>
    <w:p w14:paraId="50992E3B" w14:textId="77777777" w:rsidR="004E4F0C" w:rsidRDefault="004E4F0C">
      <w:pPr>
        <w:spacing w:before="11" w:line="220" w:lineRule="exact"/>
        <w:rPr>
          <w:sz w:val="22"/>
          <w:szCs w:val="22"/>
        </w:rPr>
      </w:pPr>
    </w:p>
    <w:p w14:paraId="1F8F652D" w14:textId="16B6AE5C" w:rsidR="004E4F0C" w:rsidRDefault="005E24B3">
      <w:pPr>
        <w:spacing w:line="258" w:lineRule="auto"/>
        <w:ind w:left="117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Osmaniye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Korkut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ver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itesi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demik </w:t>
      </w:r>
      <w:proofErr w:type="spellStart"/>
      <w:r>
        <w:rPr>
          <w:rFonts w:ascii="Calibri" w:eastAsia="Calibri" w:hAnsi="Calibri" w:cs="Calibri"/>
          <w:sz w:val="22"/>
          <w:szCs w:val="22"/>
        </w:rPr>
        <w:t>Teşvik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Düz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nlem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Denet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İtiraz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misy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tara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ından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AF492E" w:rsidRPr="00AF492E">
        <w:rPr>
          <w:rFonts w:ascii="Calibri" w:eastAsia="Calibri" w:hAnsi="Calibri" w:cs="Calibri"/>
          <w:sz w:val="22"/>
          <w:szCs w:val="22"/>
        </w:rPr>
        <w:t xml:space="preserve">27 Haziran 2018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Tarihli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ve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30461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sayılı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Resmi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Gazete’de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yayımlanan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AF492E" w:rsidRPr="00AF492E">
        <w:rPr>
          <w:rFonts w:ascii="Calibri" w:eastAsia="Calibri" w:hAnsi="Calibri" w:cs="Calibri"/>
          <w:sz w:val="22"/>
          <w:szCs w:val="22"/>
        </w:rPr>
        <w:t>“ Akademik</w:t>
      </w:r>
      <w:proofErr w:type="gram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Teşvik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ve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Ödeneği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Yönetmeliği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”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ve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17 Ocak 2020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tarih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ve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31011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sayılı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Resmi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Gazete’de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yayımlanan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“Akademik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Teşvik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ve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Ödeneği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Yönetmeliğinde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Değişiklik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Yapılmasına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dair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F492E" w:rsidRPr="00AF492E">
        <w:rPr>
          <w:rFonts w:ascii="Calibri" w:eastAsia="Calibri" w:hAnsi="Calibri" w:cs="Calibri"/>
          <w:sz w:val="22"/>
          <w:szCs w:val="22"/>
        </w:rPr>
        <w:t>Yönetmelik</w:t>
      </w:r>
      <w:proofErr w:type="spellEnd"/>
      <w:r w:rsidR="00AF492E" w:rsidRPr="00AF492E">
        <w:rPr>
          <w:rFonts w:ascii="Calibri" w:eastAsia="Calibri" w:hAnsi="Calibri" w:cs="Calibri"/>
          <w:sz w:val="22"/>
          <w:szCs w:val="22"/>
        </w:rPr>
        <w:t>”</w:t>
      </w:r>
      <w:r w:rsidR="00AF492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ğ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’</w:t>
      </w:r>
      <w:r w:rsidR="00AF492E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öre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üniversi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emiz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ştı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macılarının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aptıkları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msel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tlere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ilişk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1"/>
          <w:sz w:val="22"/>
          <w:szCs w:val="22"/>
        </w:rPr>
        <w:t>ş</w:t>
      </w:r>
      <w:r>
        <w:rPr>
          <w:rFonts w:ascii="Calibri" w:eastAsia="Calibri" w:hAnsi="Calibri" w:cs="Calibri"/>
          <w:sz w:val="22"/>
          <w:szCs w:val="22"/>
        </w:rPr>
        <w:t>vuru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takv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ş</w:t>
      </w:r>
      <w:r>
        <w:rPr>
          <w:rFonts w:ascii="Calibri" w:eastAsia="Calibri" w:hAnsi="Calibri" w:cs="Calibri"/>
          <w:sz w:val="22"/>
          <w:szCs w:val="22"/>
        </w:rPr>
        <w:t>ağıda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lirtil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iştir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172382C" w14:textId="77777777" w:rsidR="001D4902" w:rsidRDefault="001D4902">
      <w:pPr>
        <w:spacing w:line="258" w:lineRule="auto"/>
        <w:ind w:left="117" w:right="80"/>
        <w:jc w:val="both"/>
        <w:rPr>
          <w:rFonts w:ascii="Calibri" w:eastAsia="Calibri" w:hAnsi="Calibri" w:cs="Calibri"/>
          <w:sz w:val="22"/>
          <w:szCs w:val="22"/>
        </w:rPr>
      </w:pPr>
    </w:p>
    <w:p w14:paraId="40172BB3" w14:textId="77777777" w:rsidR="001D4902" w:rsidRDefault="001D4902">
      <w:pPr>
        <w:spacing w:line="258" w:lineRule="auto"/>
        <w:ind w:left="117" w:right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72"/>
        <w:gridCol w:w="6621"/>
      </w:tblGrid>
      <w:tr w:rsidR="001D4902" w14:paraId="442B1CC4" w14:textId="77777777" w:rsidTr="001D4902">
        <w:tc>
          <w:tcPr>
            <w:tcW w:w="2572" w:type="dxa"/>
          </w:tcPr>
          <w:p w14:paraId="278DC121" w14:textId="57A684D6" w:rsidR="001D4902" w:rsidRDefault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16-20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Aralık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0436C4DE" w14:textId="5D7D5F50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Birim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Akademik  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İnceleme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Komisyonlarının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oluşturulup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Rektörlüğe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bildirilmesi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Öğretim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Elemanlarının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Bölüm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Anabilim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Dalı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Anasanat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Dalı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Başkanlıklarına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başvurularının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kabulü</w:t>
            </w:r>
            <w:proofErr w:type="spellEnd"/>
          </w:p>
        </w:tc>
      </w:tr>
      <w:tr w:rsidR="001D4902" w14:paraId="1FC1DEA9" w14:textId="77777777" w:rsidTr="001D4902">
        <w:tc>
          <w:tcPr>
            <w:tcW w:w="2572" w:type="dxa"/>
          </w:tcPr>
          <w:p w14:paraId="44FB53CF" w14:textId="256C395B" w:rsidR="001D4902" w:rsidRDefault="00046B61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1D490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Ocak</w:t>
            </w:r>
            <w:r w:rsidR="001D490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D4902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78CB0669" w14:textId="03823F29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Öğretim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elemanlarınca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başvurularının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Akademik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Sistemi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üzerinden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çevrim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içi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ortamda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yapılması</w:t>
            </w:r>
            <w:proofErr w:type="spellEnd"/>
          </w:p>
        </w:tc>
      </w:tr>
      <w:tr w:rsidR="001D4902" w14:paraId="332CE1C0" w14:textId="77777777" w:rsidTr="001D4902">
        <w:tc>
          <w:tcPr>
            <w:tcW w:w="2572" w:type="dxa"/>
          </w:tcPr>
          <w:p w14:paraId="6B87BE40" w14:textId="2EB4B3B7" w:rsidR="001D4902" w:rsidRDefault="00046B61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1D490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Ocak</w:t>
            </w:r>
            <w:r w:rsidR="001D490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D4902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3016B241" w14:textId="77777777" w:rsidR="001D4902" w:rsidRP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Birim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İnceleme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Komisyonunun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71C13131" w14:textId="77777777" w:rsidR="001D4902" w:rsidRP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Sistemi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üzerinden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başvuruları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çevrim</w:t>
            </w:r>
            <w:proofErr w:type="spellEnd"/>
          </w:p>
          <w:p w14:paraId="519A9AAE" w14:textId="1B890CE1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içi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ortamda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değerlendirmesi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D4902" w14:paraId="4EC20627" w14:textId="77777777" w:rsidTr="001D4902">
        <w:tc>
          <w:tcPr>
            <w:tcW w:w="2572" w:type="dxa"/>
          </w:tcPr>
          <w:p w14:paraId="5BDD42BD" w14:textId="112976DD" w:rsidR="001D4902" w:rsidRDefault="00046B61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  <w:r w:rsidR="001D490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Ocak</w:t>
            </w:r>
            <w:r w:rsidR="001D490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D4902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52562B25" w14:textId="43AC633D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Düzenleme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Denetleme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İtiraz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Komisyonunun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Sistemi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üzerinden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başvuruları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çevrim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içi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ortamda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değerlendirilmesi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sonuçlandırılması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Başvuru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sonucunun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çevrim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içi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ortamda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kişiye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özel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sonuç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sorgu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sayfasından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erişime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açılması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D4902" w14:paraId="2D1B6614" w14:textId="77777777" w:rsidTr="001D4902">
        <w:tc>
          <w:tcPr>
            <w:tcW w:w="2572" w:type="dxa"/>
          </w:tcPr>
          <w:p w14:paraId="0472EC99" w14:textId="6ABC7843" w:rsidR="001D4902" w:rsidRDefault="00046B61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1D490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Şubat</w:t>
            </w:r>
            <w:proofErr w:type="spellEnd"/>
            <w:r w:rsidR="001D490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D4902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47EB68AC" w14:textId="48B7E231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Akademik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Teşvik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Düzenleme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Denetleme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İtiraz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Komisyonu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Kararlarına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itirazların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varsa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alınması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D4902" w14:paraId="1EAEB724" w14:textId="77777777" w:rsidTr="001D4902">
        <w:tc>
          <w:tcPr>
            <w:tcW w:w="2572" w:type="dxa"/>
          </w:tcPr>
          <w:p w14:paraId="0F27CDB5" w14:textId="58DEFC8C" w:rsidR="001D4902" w:rsidRDefault="00046B61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4-5</w:t>
            </w:r>
            <w:r w:rsidR="001D490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Şubat</w:t>
            </w:r>
            <w:proofErr w:type="spellEnd"/>
            <w:r w:rsidR="001D490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D4902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D49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621" w:type="dxa"/>
          </w:tcPr>
          <w:p w14:paraId="050B5453" w14:textId="24CEE3E4" w:rsidR="001D4902" w:rsidRDefault="001D4902" w:rsidP="001D4902">
            <w:pPr>
              <w:spacing w:line="258" w:lineRule="auto"/>
              <w:ind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İtirazların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varsa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komisyonda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görüşülerek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nihai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karara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bağlanması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kesin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sonuçların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çevrim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içi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ortamda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kişiye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özel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olarak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erişime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açılması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ödeme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yapılmak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üzere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ilgili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birimlere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D4902">
              <w:rPr>
                <w:rFonts w:ascii="Calibri" w:eastAsia="Calibri" w:hAnsi="Calibri" w:cs="Calibri"/>
                <w:sz w:val="22"/>
                <w:szCs w:val="22"/>
              </w:rPr>
              <w:t>gönderilmesi</w:t>
            </w:r>
            <w:proofErr w:type="spellEnd"/>
            <w:r w:rsidRPr="001D49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F6E6857" w14:textId="70311E1E" w:rsidR="004E4F0C" w:rsidRDefault="004E4F0C" w:rsidP="001D4902">
      <w:pPr>
        <w:spacing w:before="20"/>
        <w:rPr>
          <w:rFonts w:ascii="Calibri" w:eastAsia="Calibri" w:hAnsi="Calibri" w:cs="Calibri"/>
          <w:sz w:val="22"/>
          <w:szCs w:val="22"/>
        </w:rPr>
      </w:pPr>
    </w:p>
    <w:sectPr w:rsidR="004E4F0C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226C"/>
    <w:multiLevelType w:val="multilevel"/>
    <w:tmpl w:val="6A14233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86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0C"/>
    <w:rsid w:val="00046B61"/>
    <w:rsid w:val="001D4902"/>
    <w:rsid w:val="00243253"/>
    <w:rsid w:val="004E4F0C"/>
    <w:rsid w:val="005E24B3"/>
    <w:rsid w:val="007A61AD"/>
    <w:rsid w:val="00A20211"/>
    <w:rsid w:val="00AF492E"/>
    <w:rsid w:val="00DF4E9A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A28B"/>
  <w15:docId w15:val="{417D299A-82C4-4277-99C8-140A3B3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1D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</dc:creator>
  <cp:lastModifiedBy>Hak</cp:lastModifiedBy>
  <cp:revision>2</cp:revision>
  <dcterms:created xsi:type="dcterms:W3CDTF">2024-11-25T21:39:00Z</dcterms:created>
  <dcterms:modified xsi:type="dcterms:W3CDTF">2024-11-25T21:39:00Z</dcterms:modified>
</cp:coreProperties>
</file>